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931C8">
      <w:pPr>
        <w:spacing w:line="1400" w:lineRule="exact"/>
        <w:jc w:val="center"/>
        <w:rPr>
          <w:rFonts w:hint="eastAsia" w:ascii="方正小标宋简体" w:hAnsi="华文中宋" w:eastAsia="方正小标宋简体"/>
          <w:b/>
          <w:color w:val="FF0000"/>
          <w:w w:val="48"/>
          <w:sz w:val="110"/>
          <w:szCs w:val="110"/>
        </w:rPr>
      </w:pPr>
      <w:bookmarkStart w:id="1" w:name="_GoBack"/>
      <w:r>
        <w:rPr>
          <w:rFonts w:hint="eastAsia" w:ascii="方正小标宋简体" w:hAnsi="华文中宋" w:eastAsia="方正小标宋简体"/>
          <w:b/>
          <w:color w:val="FF0000"/>
          <w:w w:val="48"/>
          <w:sz w:val="110"/>
          <w:szCs w:val="110"/>
        </w:rPr>
        <w:t>中共湖南省委党校（湖南行政学院）</w:t>
      </w:r>
    </w:p>
    <w:p w14:paraId="48F40318">
      <w:pPr>
        <w:tabs>
          <w:tab w:val="center" w:pos="4156"/>
          <w:tab w:val="left" w:pos="7215"/>
        </w:tabs>
        <w:spacing w:before="46" w:beforeLines="15" w:line="0" w:lineRule="atLeast"/>
        <w:jc w:val="center"/>
        <w:rPr>
          <w:rFonts w:hint="eastAsia"/>
          <w:color w:val="FF0000"/>
        </w:rPr>
      </w:pPr>
      <w:r>
        <w:rPr>
          <w:rFonts w:eastAsia="隶书"/>
          <w:b/>
          <w:color w:val="FF0000"/>
          <w:szCs w:val="21"/>
        </w:rPr>
        <w:pict>
          <v:line id="_x0000_s1027" o:spid="_x0000_s1027" o:spt="20" style="position:absolute;left:0pt;margin-left:-2.15pt;margin-top:12.75pt;height:0pt;width:445.2pt;z-index:251659264;mso-width-relative:page;mso-height-relative:page;" filled="f" stroked="t" coordsize="21600,21600">
            <v:path arrowok="t"/>
            <v:fill on="f" focussize="0,0"/>
            <v:stroke weight="1.75pt" color="#FF0000"/>
            <v:imagedata o:title=""/>
            <o:lock v:ext="edit" aspectratio="f"/>
          </v:line>
        </w:pict>
      </w:r>
    </w:p>
    <w:p w14:paraId="6F1BB02E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content"/>
      <w:bookmarkEnd w:id="0"/>
    </w:p>
    <w:bookmarkEnd w:id="1"/>
    <w:p w14:paraId="5427E2E5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6490B040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年度部门整体支出绩效自评报告</w:t>
      </w:r>
    </w:p>
    <w:p w14:paraId="6398A797">
      <w:pPr>
        <w:spacing w:line="54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</w:p>
    <w:p w14:paraId="05919352">
      <w:pPr>
        <w:spacing w:line="560" w:lineRule="exact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省财政厅：</w:t>
      </w:r>
    </w:p>
    <w:p w14:paraId="0B89EA45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lang w:val="en" w:eastAsia="zh-CN"/>
        </w:rPr>
      </w:pPr>
      <w:r>
        <w:rPr>
          <w:rFonts w:ascii="仿宋_GB2312" w:hAnsi="Times New Roman" w:eastAsia="仿宋_GB2312" w:cs="Times New Roman"/>
          <w:color w:val="auto"/>
          <w:sz w:val="32"/>
          <w:szCs w:val="32"/>
        </w:rPr>
        <w:t>根据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《关于开展202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年度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省级预算部门绩效自评和部门评价的通知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》（湘财绩〔202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〕</w:t>
      </w:r>
      <w:r>
        <w:rPr>
          <w:rFonts w:ascii="仿宋_GB2312" w:hAnsi="Times New Roman" w:eastAsia="仿宋_GB2312" w:cs="Times New Roman"/>
          <w:color w:val="auto"/>
          <w:sz w:val="32"/>
          <w:szCs w:val="32"/>
          <w:lang w:val="en"/>
        </w:rPr>
        <w:t>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号）要求，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校（院）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高度重视，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认真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组织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开展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了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年度整体支出绩效情况自评，现将有关情况报告如下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highlight w:val="none"/>
          <w:lang w:val="en" w:eastAsia="zh-CN"/>
        </w:rPr>
        <w:t>。</w:t>
      </w:r>
    </w:p>
    <w:p w14:paraId="79ACA541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一、部门基本情况</w:t>
      </w:r>
    </w:p>
    <w:p w14:paraId="43284CAA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（一）部门职能职责</w:t>
      </w:r>
    </w:p>
    <w:p w14:paraId="3E8C529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根据《中国共产党党校(行政学院)工作条例》和我省有关文件规定，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校（院）履行以下工作职责：</w:t>
      </w:r>
    </w:p>
    <w:p w14:paraId="68236F6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1.培训党政领导干部、公务员（含参照公务员法管理人员）、国有企业领导人员、事业单位领导人员、年轻干部、理论宣传骨干、高层次人才、基层干部、党员，开展党校（行政学院）师资培训；</w:t>
      </w:r>
    </w:p>
    <w:p w14:paraId="7754805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加强马克思主义基本理论研究，重点研究宣传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lang w:eastAsia="zh-CN"/>
        </w:rPr>
        <w:t>阐释</w:t>
      </w: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</w:rPr>
        <w:t>习近平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新时代中国特色社会主义思想；</w:t>
      </w:r>
    </w:p>
    <w:p w14:paraId="4C4A677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3.承办党委和政府以及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关部门举办的专题研讨班；</w:t>
      </w:r>
    </w:p>
    <w:p w14:paraId="3ACA749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4.开展重大理论和现实问题研究，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党委和政府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决策咨询服务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为构建中国哲学社会科学自主知识体系贡献力量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；</w:t>
      </w:r>
    </w:p>
    <w:p w14:paraId="6504B59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5.以培养马克思主义理论人才为主要目标，在国家批准的学科和专业学位类别内开展学位研究生教育；</w:t>
      </w:r>
    </w:p>
    <w:p w14:paraId="21D912D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6.开展同国（境）内外有关机构和组织的合作与交流；</w:t>
      </w:r>
    </w:p>
    <w:p w14:paraId="6047E77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7.参与党委关于党校（行政学院）工作政策以及干部培训计划的制定工作；</w:t>
      </w:r>
    </w:p>
    <w:p w14:paraId="1480F59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8.负责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共产主义青年团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湖南省团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校、湖南省妇女干部党校、湖南省民族干部学校的干部培训工作；</w:t>
      </w:r>
    </w:p>
    <w:p w14:paraId="105744C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9.完成党委和政府交办的其他任务。</w:t>
      </w:r>
    </w:p>
    <w:p w14:paraId="4B1A9C11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（二）机构设置情况</w:t>
      </w:r>
    </w:p>
    <w:p w14:paraId="10FC93D3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我校（院）内设部室33个，所属二级预算单位1个。</w:t>
      </w:r>
    </w:p>
    <w:p w14:paraId="48B82A4D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内设部室分别是：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办公室、研究室、教务部、科研与决策咨询部、进修培训部、公务员培训部、综合培训部、业务指导与信息化部、研究生部、马克思主义学院、哲学教研部、经济学教研部、科学社会主义教研部（政治学教研部）、法学教研部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国家治理教研部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（湖南行政管理学会）、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应急管理教研部、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科技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创新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区域战略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教研部、党史党建教研部、纪检监察教研部、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统一战线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教研部（湖南省民族干部学校）、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文化建设教研部（湖湘红色文化研究中心）、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社会建设教研部（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中国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共产主义青年团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湖南省团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校）、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生态文明建设教研部（湖南经济社会发展研究中心）、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妇女理论教研部（湖南省妇女干部学校）、湖南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干部教育与人才发展研究中心、组织人事部、行政财务部、总务部（综合治理办）、离退休人员工作办公室、领导力培训中心（国际交流中心）、期刊社、图书馆。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另按规定设置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机关党委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0C614A3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所属二级预算单位是湖南韶山干部学院。</w:t>
      </w:r>
    </w:p>
    <w:p w14:paraId="680748FF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（三）人员编制情况</w:t>
      </w:r>
    </w:p>
    <w:p w14:paraId="7986B224">
      <w:pPr>
        <w:snapToGrid w:val="0"/>
        <w:spacing w:line="560" w:lineRule="exact"/>
        <w:ind w:firstLine="640" w:firstLineChars="200"/>
        <w:rPr>
          <w:rFonts w:ascii="仿宋_GB2312" w:hAnsi="仿宋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年末，校本级编制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544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名。年末实有在职人员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492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人，离休人员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人，退休人员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550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人。在职人员控制率为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90.44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%；二级预算单位湖南韶山干部学院编制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105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名，年末实有在职职工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人，离休人员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人，退休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人。在职人员控制率为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48.60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%；部门总体在职人员控制率为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83.67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%。</w:t>
      </w:r>
    </w:p>
    <w:p w14:paraId="42435DF0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二、一般公共预算支出情况</w:t>
      </w:r>
    </w:p>
    <w:p w14:paraId="59820EA4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（一）基本支出情况</w:t>
      </w:r>
    </w:p>
    <w:p w14:paraId="23D49C38">
      <w:pPr>
        <w:snapToGrid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年基本支出预算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19206.78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万元（校本级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18327.12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万元、湖南韶山干部学院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879.66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万元），本年实际支出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18752.57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万元（校本级支出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17937.18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万元，湖南韶山干部学院支出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815.39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万元），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基本支出预算执行率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97.64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%。</w:t>
      </w:r>
    </w:p>
    <w:p w14:paraId="6367A5BB">
      <w:pPr>
        <w:snapToGrid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（二）项目支出情况</w:t>
      </w:r>
    </w:p>
    <w:p w14:paraId="17B226E3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年预算总额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9289.88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万元（校本级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8703.56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万元、湖南韶山干部学院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586.32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万元），实际支出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4654.68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万元（校本级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4158.11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万元、湖南韶山干部学院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496.57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万元），预算执行率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50.10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%，结余资金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4635.20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万元（校本级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4545.45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万元、湖南韶山干部学院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89.75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万元）。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主要原因为：</w:t>
      </w:r>
    </w:p>
    <w:p w14:paraId="45AB249C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trike/>
          <w:dstrike w:val="0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校本级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教研咨一体化创新工程、科研课题等项目周期长，资金按科研管理规定结转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b w:val="0"/>
          <w:bCs w:val="0"/>
          <w:strike w:val="0"/>
          <w:dstrike w:val="0"/>
          <w:color w:val="auto"/>
          <w:kern w:val="2"/>
          <w:sz w:val="32"/>
          <w:szCs w:val="32"/>
          <w:lang w:eastAsia="zh-CN"/>
        </w:rPr>
        <w:t>其中：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教研咨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一体化创新工程项目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结余9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46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98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万元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科研课题结</w:t>
      </w:r>
      <w:r>
        <w:rPr>
          <w:rFonts w:ascii="仿宋_GB2312" w:hAnsi="Times New Roman" w:eastAsia="仿宋_GB2312" w:cs="Times New Roman"/>
          <w:color w:val="auto"/>
          <w:kern w:val="2"/>
          <w:sz w:val="32"/>
          <w:szCs w:val="32"/>
        </w:rPr>
        <w:t>转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571.16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万元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eastAsia="zh-CN"/>
        </w:rPr>
        <w:t>。</w:t>
      </w:r>
    </w:p>
    <w:p w14:paraId="2388DDC4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trike/>
          <w:dstrike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2.校本级</w:t>
      </w:r>
      <w:r>
        <w:rPr>
          <w:rFonts w:ascii="仿宋_GB2312" w:hAnsi="仿宋" w:eastAsia="仿宋_GB2312" w:cs="Times New Roman"/>
          <w:color w:val="auto"/>
          <w:kern w:val="0"/>
          <w:sz w:val="32"/>
          <w:szCs w:val="32"/>
          <w:highlight w:val="none"/>
        </w:rPr>
        <w:t>闲置低效房产修缮改造及添建教室“6+1”项目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前期以方案论证、招标采购为主，经费支付按工程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进度及合同约定进行。</w:t>
      </w:r>
      <w:r>
        <w:rPr>
          <w:rFonts w:hint="eastAsia" w:ascii="仿宋_GB2312" w:hAnsi="仿宋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结余1868.12万元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。</w:t>
      </w:r>
    </w:p>
    <w:p w14:paraId="03E563E0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afterAutospacing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ascii="仿宋_GB2312" w:hAnsi="Times New Roman" w:eastAsia="仿宋_GB2312" w:cs="Times New Roman"/>
          <w:color w:val="auto"/>
          <w:kern w:val="2"/>
          <w:sz w:val="32"/>
          <w:szCs w:val="32"/>
        </w:rPr>
        <w:t>.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校本级物业管理费结余167.12万元。因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物业管理合同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2025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年重新招投标，最终支付数为中标金额。</w:t>
      </w:r>
    </w:p>
    <w:p w14:paraId="258A0AE3">
      <w:pPr>
        <w:pStyle w:val="26"/>
        <w:widowControl w:val="0"/>
        <w:spacing w:after="0" w:line="560" w:lineRule="exact"/>
        <w:ind w:left="0" w:leftChars="0" w:firstLine="640" w:firstLineChars="200"/>
        <w:jc w:val="both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校本级代管湖南韶山干部学院改扩建项目尾款79.75万元、信息系统运维项目结转77.75万元。按合同约定，尾款于2026年支付。</w:t>
      </w:r>
    </w:p>
    <w:p w14:paraId="43E54023">
      <w:pPr>
        <w:pStyle w:val="26"/>
        <w:widowControl w:val="0"/>
        <w:spacing w:after="0" w:line="560" w:lineRule="exact"/>
        <w:ind w:left="0" w:leftChars="0" w:firstLine="640" w:firstLineChars="200"/>
        <w:jc w:val="both"/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校本级专题研讨培训班、建立履职事项清单工作专题培训班、“湘江大讲堂”运行经费结余302.02万元。部分指标于年底下达，结转至2026年。</w:t>
      </w:r>
    </w:p>
    <w:p w14:paraId="210FC738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.校本级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研究生生均经费结余262万元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指标年底下达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结转至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年。</w:t>
      </w:r>
    </w:p>
    <w:p w14:paraId="65F15BB0">
      <w:pPr>
        <w:pStyle w:val="26"/>
        <w:widowControl w:val="0"/>
        <w:spacing w:after="0" w:line="560" w:lineRule="exact"/>
        <w:ind w:left="0" w:leftChars="0" w:firstLine="640" w:firstLineChars="200"/>
        <w:jc w:val="both"/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7.校本级全面从严治党教育中心运行经费结余116.78万元。当年结余资金，结转至2026年。</w:t>
      </w:r>
    </w:p>
    <w:p w14:paraId="2E6321F2">
      <w:pPr>
        <w:pStyle w:val="26"/>
        <w:widowControl w:val="0"/>
        <w:spacing w:after="0" w:line="560" w:lineRule="exact"/>
        <w:ind w:left="0" w:leftChars="0" w:firstLine="640" w:firstLineChars="200"/>
        <w:jc w:val="both"/>
        <w:rPr>
          <w:rFonts w:hint="default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8.校本级教学、科研、业务指导等项目经费结转132.77万元。当年结余资金，结转至2026年。</w:t>
      </w:r>
    </w:p>
    <w:p w14:paraId="2FC125B6">
      <w:pPr>
        <w:pStyle w:val="26"/>
        <w:widowControl w:val="0"/>
        <w:spacing w:after="0" w:line="560" w:lineRule="exact"/>
        <w:ind w:left="0" w:leftChars="0" w:firstLine="640" w:firstLineChars="200"/>
        <w:jc w:val="both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9.湖南韶山干部学院结余89.75万元。当年结余资金，结转至2026年。</w:t>
      </w:r>
    </w:p>
    <w:p w14:paraId="3876D258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三、政府性基金预算支出情况</w:t>
      </w:r>
    </w:p>
    <w:p w14:paraId="278F4DBD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年校（院）无政府性基金预算安排的支出。</w:t>
      </w:r>
    </w:p>
    <w:p w14:paraId="54AD1600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四、国有资本经营预算支出情况</w:t>
      </w:r>
    </w:p>
    <w:p w14:paraId="6EE91E07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年校（院）无国有资本经营预算安排的支出。</w:t>
      </w:r>
    </w:p>
    <w:p w14:paraId="5074BB2A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五、社会保险基金预算支出情况</w:t>
      </w:r>
    </w:p>
    <w:p w14:paraId="7DB49F3D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年校（院）无社会保险基金预算安排的支出。</w:t>
      </w:r>
    </w:p>
    <w:p w14:paraId="51B275A7">
      <w:pPr>
        <w:spacing w:line="560" w:lineRule="exact"/>
        <w:ind w:firstLine="640" w:firstLineChars="200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六、绩效自评工作开展情况及自我评价结论</w:t>
      </w:r>
    </w:p>
    <w:p w14:paraId="177ED2F7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前期准备充分。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认真落实《湖南省财政厅关于开展202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年度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省级预算部门绩效自评和部门评价的通知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》（湘财绩〔202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〕2号）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精神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，要求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校（院）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各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相关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直属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严格按照文件要求对本部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负责实施的项目开展客观、全面、准确的绩效自评，并向行政财务部提交《项目绩效自评报告》和《项目绩效自评表》。</w:t>
      </w:r>
    </w:p>
    <w:p w14:paraId="6D47B356"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（二）实施过程务实。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校（院）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各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相关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直属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按照“谁负责项目实施，谁进行绩效自评”的原则，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以严谨的态度、科学的办法对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本部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负责实施的项目开展绩效自评，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有效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保证自评结果的真实性和准确性。行政财务部负责对各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相关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的绩效自评工作提供项目资金数据并进行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填报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指导，确保各部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提供的《项目绩效自评报告》和《项目绩效自评表》格式规范、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要素齐全、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内容完整。共收集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44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份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绩效自评报告和表格。</w:t>
      </w:r>
    </w:p>
    <w:p w14:paraId="15FA186C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（三）总体自评</w:t>
      </w:r>
      <w:r>
        <w:rPr>
          <w:rFonts w:ascii="楷体_GB2312" w:hAnsi="Times New Roman" w:eastAsia="楷体_GB2312" w:cs="Times New Roman"/>
          <w:color w:val="auto"/>
          <w:sz w:val="32"/>
          <w:szCs w:val="32"/>
          <w:lang w:val="en"/>
        </w:rPr>
        <w:t>优秀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校（院）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各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相关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直属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、湖南韶山干部学院自评的基础上，行政财务部对所有的自评信息进行汇总和整理，并按照通知要求对校（院）202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年度的整体支出进行了绩效评价，总体评价分数为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97.3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分。</w:t>
      </w:r>
    </w:p>
    <w:p w14:paraId="065108E4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七、部门整体支出绩效情况</w:t>
      </w:r>
    </w:p>
    <w:p w14:paraId="65D779AC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（一）干部培训量质齐升</w:t>
      </w:r>
    </w:p>
    <w:p w14:paraId="41D49BDA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举办各类培训班次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562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个，培训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45930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余人次，其中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本部承办省委交办的专题研讨班6个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（1203人）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，举办基本培训班7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个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val="en-US" w:eastAsia="zh-CN"/>
        </w:rPr>
        <w:t>4351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人）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；湖南韶山干部学院举办基本培训班次1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个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val="en-US" w:eastAsia="zh-CN"/>
        </w:rPr>
        <w:t>826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人）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。完成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133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个重点委托班次，培训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1.9万余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人次。开展校级集体备课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批次，共打造新课程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89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堂，3门课程获评中组部全国干部教育培训好课程。</w:t>
      </w:r>
    </w:p>
    <w:p w14:paraId="062EF801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承办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“湘江大讲堂”1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期，1.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万余人次参加。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义务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送教下基层200余次。举办5期政策业务宣讲，培训基层干部、企业人员5万余名。全面从严治党教育中心接待参观学习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1055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场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（4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val="en-US" w:eastAsia="zh-CN"/>
        </w:rPr>
        <w:t>6590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人次）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在老挝挂牌成立首个海外教育培训基地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参加世界平衡会议和IASIA年会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对古巴等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国开展交流访问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援外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班次讲学22场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与马达加斯加国家行政学院联合举办“治国理政”学术交流视频会议。接待斯里兰卡高级政府官员研修班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4个国外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考察团。举办第一期东帝汶政府中高级官员、第五期老挝地方政府中高级领导干部湖南研修班，培训外国官员50余人次。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湖南韶山干部学院承办</w:t>
      </w:r>
      <w:r>
        <w:rPr>
          <w:rFonts w:hint="eastAsia" w:ascii="Times New Roman" w:hAnsi="Times New Roman" w:eastAsia="仿宋_GB2312" w:cs="仿宋_GB2312"/>
          <w:sz w:val="32"/>
          <w:szCs w:val="32"/>
        </w:rPr>
        <w:t>老挝地方政府中高级干部湖南研修班、东帝汶政府中高级官员湖南研修班、澳门中青年人才国情研修班等</w:t>
      </w:r>
      <w:r>
        <w:rPr>
          <w:rFonts w:hint="eastAsia" w:ascii="仿宋_GB2312" w:hAnsi="仿宋_GB2312" w:eastAsia="仿宋_GB2312" w:cs="仿宋_GB2312"/>
          <w:sz w:val="32"/>
          <w:szCs w:val="32"/>
        </w:rPr>
        <w:t>各类常规委托培训班次286期，累计培训学员68581人次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94A40EB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楷体_GB2312" w:hAnsi="Times New Roman" w:eastAsia="楷体_GB2312" w:cs="Times New Roman"/>
          <w:strike w:val="0"/>
          <w:dstrike w:val="0"/>
          <w:color w:val="auto"/>
          <w:kern w:val="2"/>
          <w:sz w:val="32"/>
          <w:szCs w:val="32"/>
          <w:lang w:val="en-US" w:eastAsia="zh-CN" w:bidi="ar-SA"/>
        </w:rPr>
        <w:t>教学创新支撑有力</w:t>
      </w:r>
    </w:p>
    <w:p w14:paraId="711A1CCA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推进教研咨一体化创新工程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eastAsia="zh-CN"/>
        </w:rPr>
        <w:t>教学创新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项目，立项高质量课程开发项目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114项、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</w:rPr>
        <w:t>教材建设与理论宣传读本项目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sz w:val="32"/>
          <w:szCs w:val="32"/>
          <w:lang w:val="en-US" w:eastAsia="zh-CN"/>
        </w:rPr>
        <w:t>13项。</w:t>
      </w:r>
      <w:r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</w:rPr>
        <w:t>举办全省党校第十六次教学比赛。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落实领导干部上讲台制度，邀请领导干部、专家教授授课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195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人次，占基本培训课时29.69%。组织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个基本培训班与贵州等省级党校互换式教学；组织中青班与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4个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市级党校中青班“混合编班”，赴上海等地异地教学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组织学员赴省人武学校等地开展国防与应急教育。与省委外事办合作开展“外交外事进党校”活动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与省文旅厅合作举办“信仰的力量”红色故事会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开展“两带来”答疑交流，安排论文指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导289篇。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湖南韶山干部学院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制定《课题开发三年行动计划（2025—2027年）》，立项课程13堂，其中5堂课程入选全省党校（行政学院）系统2024年度“高质量课程开发”项目，均已顺利结项。</w:t>
      </w:r>
    </w:p>
    <w:p w14:paraId="03B21A0C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（三）科研咨政成果丰硕</w:t>
      </w:r>
    </w:p>
    <w:p w14:paraId="48BC51C2"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公开发表论文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430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余篇，开展“智库选题策划会”11期，领题破题80项，孵化成果40余项。立项国家社科基金项目6项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（居全国省级党校第6、中部第1位）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立项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省部级项目63项，其中全国党校（行政学院）系统社科规划项目5项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（居全国省级党校第2、中部第1）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，省社科基金项目18项。撰写咨政报告5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篇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val="en-US" w:eastAsia="zh-CN"/>
        </w:rPr>
        <w:t>38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篇获副省级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eastAsia="zh-CN"/>
        </w:rPr>
        <w:t>及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以上领导肯定性批示，</w:t>
      </w:r>
      <w:r>
        <w:rPr>
          <w:rFonts w:hint="default" w:ascii="楷体_GB2312" w:hAnsi="Times New Roman" w:eastAsia="楷体_GB2312" w:cs="Times New Roman"/>
          <w:color w:val="auto"/>
          <w:sz w:val="32"/>
          <w:szCs w:val="32"/>
          <w:lang w:val="en"/>
        </w:rPr>
        <w:t>其中3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楷体_GB2312" w:hAnsi="Times New Roman" w:eastAsia="楷体_GB2312" w:cs="Times New Roman"/>
          <w:color w:val="auto"/>
          <w:sz w:val="32"/>
          <w:szCs w:val="32"/>
          <w:lang w:val="en"/>
        </w:rPr>
        <w:t>篇获</w:t>
      </w:r>
      <w:r>
        <w:rPr>
          <w:rFonts w:hint="eastAsia" w:ascii="楷体_GB2312" w:hAnsi="Times New Roman" w:eastAsia="楷体_GB2312" w:cs="Times New Roman"/>
          <w:strike w:val="0"/>
          <w:color w:val="auto"/>
          <w:sz w:val="32"/>
          <w:szCs w:val="32"/>
        </w:rPr>
        <w:t>正省级</w:t>
      </w:r>
      <w:r>
        <w:rPr>
          <w:rFonts w:hint="eastAsia" w:ascii="楷体_GB2312" w:hAnsi="Times New Roman" w:eastAsia="楷体_GB2312" w:cs="Times New Roman"/>
          <w:strike w:val="0"/>
          <w:color w:val="auto"/>
          <w:sz w:val="32"/>
          <w:szCs w:val="32"/>
          <w:lang w:eastAsia="zh-CN"/>
        </w:rPr>
        <w:t>及以上</w:t>
      </w:r>
      <w:r>
        <w:rPr>
          <w:rFonts w:hint="eastAsia" w:ascii="楷体_GB2312" w:hAnsi="Times New Roman" w:eastAsia="楷体_GB2312" w:cs="Times New Roman"/>
          <w:strike w:val="0"/>
          <w:color w:val="auto"/>
          <w:sz w:val="32"/>
          <w:szCs w:val="32"/>
        </w:rPr>
        <w:t>领导批示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校（院）被评为“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2024年度湖南省当代中国马克思主义研究中心优秀分中心”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校（院）国家社科基金项目管理工作经验获中央党校《科研工作简讯》推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湖南韶山干部学院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主持立项课题3项，参与立项课题2项；主持6项课题结项，参与3项课题结项；在光明日报、解放军报等报纸期刊上公开发表学术著作17篇，内部刊物发表2篇，7篇论文在各类学会会议征文中获奖；参与编写著作3本；4项决策咨询成果获省委主要领导批示，1项被采纳，其中1项为学院教职工主持。</w:t>
      </w:r>
    </w:p>
    <w:p w14:paraId="0D959728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（四）</w:t>
      </w: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学科建设持续优化</w:t>
      </w:r>
    </w:p>
    <w:p w14:paraId="5970AB25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持续优化“3237”学科布局，巩固哲学、政治学、公共管理学3个传统一级学科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提升马克思主义理论、中共党史党建学2个优势一级学科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；发展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纪检监察学、理论经济学、社会学3个一级学科，培育干部教育学、统一战线学、党内法规学、纪检监察理论、应急管理5个二级学科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人才学、干部法治教育学2个学科方向，构建“雁阵式”学科体系。纪检监察教研部、湖南干部教育与人才发展研究中心已独立运行。</w:t>
      </w:r>
      <w:r>
        <w:rPr>
          <w:rFonts w:hint="eastAsia" w:ascii="仿宋_GB2312" w:hAnsi="Calibri" w:eastAsia="仿宋_GB2312" w:cs="Times New Roman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做好哲学一级学科专项评估和社会工作硕士点复评工作，4个学位授权点通过2020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—</w:t>
      </w:r>
      <w:r>
        <w:rPr>
          <w:rFonts w:hint="eastAsia" w:ascii="仿宋_GB2312" w:hAnsi="Calibri" w:eastAsia="仿宋_GB2312" w:cs="Times New Roman"/>
          <w:b w:val="0"/>
          <w:i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2025年周期性合格评估。成立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湖南省宗教院校思政课教研中心”。2025年招收硕士78人，毕业9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人。</w:t>
      </w:r>
    </w:p>
    <w:p w14:paraId="09002C4D">
      <w:pPr>
        <w:spacing w:line="560" w:lineRule="exact"/>
        <w:ind w:firstLine="640" w:firstLineChars="200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八、存在的主要问题及原因分析</w:t>
      </w:r>
    </w:p>
    <w:p w14:paraId="0CA9AB4E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（一）预算与执行协同不足</w:t>
      </w:r>
    </w:p>
    <w:p w14:paraId="1CF650A5"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部分项目因研究周期长、审批流程复杂、资金下达晚等原因，执行进度滞后，资金结转较多，使用效益未能及时发挥。预算编制对党校业务特殊性适配不够，动态监控机制有待加强。</w:t>
      </w:r>
    </w:p>
    <w:p w14:paraId="2F8EB324">
      <w:p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sz w:val="32"/>
          <w:szCs w:val="32"/>
        </w:rPr>
        <w:t>（二）绩效指标精准性不足</w:t>
      </w:r>
    </w:p>
    <w:p w14:paraId="75B48376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现有指标对培训实效、理论传播深度、决策影响力等核心成果衡量不足，多依赖过程性数据。指标同质化，未能精准反映不同项目特质。符合干部教育规律的分类分层指标库不健全。</w:t>
      </w:r>
    </w:p>
    <w:p w14:paraId="178469BF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Times New Roman" w:eastAsia="楷体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楷体_GB2312" w:hAnsi="Times New Roman" w:eastAsia="楷体_GB2312" w:cs="Times New Roman"/>
          <w:color w:val="auto"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楷体_GB2312" w:hAnsi="Times New Roman" w:eastAsia="楷体_GB2312" w:cs="Times New Roman"/>
          <w:strike w:val="0"/>
          <w:dstrike w:val="0"/>
          <w:color w:val="auto"/>
          <w:sz w:val="32"/>
          <w:szCs w:val="32"/>
        </w:rPr>
        <w:t>结果应用约束力不足</w:t>
      </w:r>
    </w:p>
    <w:p w14:paraId="01650FD4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绩效结果与预算安排、内部管理优化、责任追究挂钩不紧密，管理闭环未完全形成，“预算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绩效”联动约束和激励作用有限。</w:t>
      </w:r>
    </w:p>
    <w:p w14:paraId="2AF9EAE6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trike/>
          <w:dstrike w:val="0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九、下一步改进措施</w:t>
      </w:r>
    </w:p>
    <w:p w14:paraId="7BAED604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strike w:val="0"/>
          <w:dstrike w:val="0"/>
          <w:color w:val="auto"/>
          <w:sz w:val="32"/>
          <w:szCs w:val="32"/>
        </w:rPr>
        <w:t>（一）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深化绩效理念宣传培训，分层分类开展教育，树立标杆，营造“讲绩效、求效益”的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财政资金使用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氛围。</w:t>
      </w:r>
    </w:p>
    <w:p w14:paraId="6644964B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strike w:val="0"/>
          <w:dstrike w:val="0"/>
          <w:color w:val="auto"/>
          <w:sz w:val="32"/>
          <w:szCs w:val="32"/>
        </w:rPr>
        <w:t>（二）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健全绩效管理制度体系，修订内部管理办法，构建“预算编制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目标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监控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评价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—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应用”全流程管理闭环，强化部门协同。</w:t>
      </w:r>
    </w:p>
    <w:p w14:paraId="5B65D537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strike w:val="0"/>
          <w:dstrike w:val="0"/>
          <w:color w:val="auto"/>
          <w:sz w:val="32"/>
          <w:szCs w:val="32"/>
        </w:rPr>
        <w:t>（三）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强化过程监控与结果应用。依托信息化手段动态监控项目执行，对滞后项目预警督办。将评价结果作为下年度预算安排核心依据，实施分类激励与约束，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不断提高预算执行率</w:t>
      </w:r>
      <w:r>
        <w:rPr>
          <w:rFonts w:hint="eastAsia" w:ascii="仿宋_GB2312" w:hAnsi="Times New Roman" w:eastAsia="仿宋_GB2312" w:cs="Times New Roman"/>
          <w:strike w:val="0"/>
          <w:dstrike w:val="0"/>
          <w:color w:val="auto"/>
          <w:sz w:val="32"/>
          <w:szCs w:val="32"/>
        </w:rPr>
        <w:t>。</w:t>
      </w:r>
    </w:p>
    <w:p w14:paraId="33231522">
      <w:pPr>
        <w:spacing w:line="560" w:lineRule="exact"/>
        <w:ind w:firstLine="640" w:firstLineChars="200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十、</w:t>
      </w:r>
      <w:r>
        <w:rPr>
          <w:rFonts w:ascii="黑体" w:hAnsi="黑体" w:eastAsia="黑体" w:cs="Times New Roman"/>
          <w:color w:val="auto"/>
          <w:sz w:val="32"/>
          <w:szCs w:val="32"/>
        </w:rPr>
        <w:t>部门整体支出绩效自评结果拟应用和</w:t>
      </w:r>
      <w:r>
        <w:rPr>
          <w:rFonts w:hint="eastAsia" w:ascii="黑体" w:hAnsi="黑体" w:eastAsia="黑体" w:cs="Times New Roman"/>
          <w:color w:val="auto"/>
          <w:sz w:val="32"/>
          <w:szCs w:val="32"/>
        </w:rPr>
        <w:t>公开情况</w:t>
      </w:r>
    </w:p>
    <w:p w14:paraId="06DBC43B">
      <w:pPr>
        <w:spacing w:line="560" w:lineRule="exact"/>
        <w:ind w:firstLine="640" w:firstLineChars="200"/>
        <w:rPr>
          <w:rFonts w:ascii="黑体" w:hAnsi="黑体" w:eastAsia="黑体" w:cs="Times New Roman"/>
          <w:color w:val="auto"/>
          <w:sz w:val="32"/>
          <w:szCs w:val="32"/>
        </w:rPr>
      </w:pPr>
      <w:r>
        <w:rPr>
          <w:rFonts w:ascii="仿宋_GB2312" w:hAnsi="Times New Roman" w:eastAsia="仿宋_GB2312" w:cs="Times New Roman"/>
          <w:color w:val="auto"/>
          <w:sz w:val="32"/>
          <w:szCs w:val="32"/>
        </w:rPr>
        <w:t>通过绩效自评，校（院）进一步掌握了财政资金的使用情况和取得的效益，也发现了绩效管理中存在的不足。为强化内部各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部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eastAsia="zh-CN"/>
        </w:rPr>
        <w:t>门</w:t>
      </w:r>
      <w:r>
        <w:rPr>
          <w:rFonts w:ascii="仿宋_GB2312" w:hAnsi="Times New Roman" w:eastAsia="仿宋_GB2312" w:cs="Times New Roman"/>
          <w:color w:val="auto"/>
          <w:sz w:val="32"/>
          <w:szCs w:val="32"/>
        </w:rPr>
        <w:t>对资金使用效果、效率的重视，校（院）拟将这些结果应用到下一年资金安排中。</w:t>
      </w:r>
    </w:p>
    <w:p w14:paraId="74922210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校（院）整体绩效自评报告按要求及时在门户网站公开，接受校（院）全体教职工、财政部门和社会的监督。</w:t>
      </w:r>
    </w:p>
    <w:p w14:paraId="3FC9D5D1">
      <w:pPr>
        <w:pStyle w:val="6"/>
        <w:spacing w:line="560" w:lineRule="exact"/>
        <w:rPr>
          <w:rFonts w:hint="eastAsia" w:ascii="Times New Roman" w:hAnsi="Times New Roman" w:eastAsia="仿宋_GB2312" w:cs="Times New Roman"/>
          <w:color w:val="auto"/>
        </w:rPr>
      </w:pPr>
    </w:p>
    <w:p w14:paraId="5AC3AEF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附件：1.202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年度部门整体支出绩效评价基础数据项目表</w:t>
      </w:r>
    </w:p>
    <w:p w14:paraId="5D5874A6">
      <w:pPr>
        <w:spacing w:line="560" w:lineRule="exact"/>
        <w:ind w:firstLine="1577" w:firstLineChars="49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年度部门整体支出绩效自评表</w:t>
      </w:r>
    </w:p>
    <w:p w14:paraId="15725C99">
      <w:pPr>
        <w:spacing w:line="560" w:lineRule="exact"/>
        <w:ind w:firstLine="1577" w:firstLineChars="493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w w:val="9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w w:val="96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w w:val="96"/>
          <w:sz w:val="32"/>
          <w:szCs w:val="32"/>
        </w:rPr>
        <w:t>年度项目支出绩效自评表（业务工作经费）</w:t>
      </w:r>
    </w:p>
    <w:p w14:paraId="5A2C2357">
      <w:pPr>
        <w:spacing w:line="560" w:lineRule="exact"/>
        <w:ind w:firstLine="1577" w:firstLineChars="493"/>
        <w:rPr>
          <w:rFonts w:hint="eastAsia" w:ascii="仿宋_GB2312" w:hAnsi="Times New Roman" w:eastAsia="仿宋_GB2312" w:cs="Times New Roman"/>
          <w:color w:val="auto"/>
          <w:w w:val="95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w w:val="95"/>
          <w:sz w:val="32"/>
          <w:szCs w:val="32"/>
        </w:rPr>
        <w:t>年度项目支出绩效自评表（其他事业发展资金）</w:t>
      </w:r>
    </w:p>
    <w:p w14:paraId="0E9A30FF">
      <w:pPr>
        <w:spacing w:line="560" w:lineRule="exact"/>
        <w:jc w:val="right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</w:p>
    <w:p w14:paraId="1E4CDE51">
      <w:pPr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</w:p>
    <w:p w14:paraId="46BF7069">
      <w:pPr>
        <w:spacing w:line="560" w:lineRule="exact"/>
        <w:ind w:firstLine="3520" w:firstLineChars="1100"/>
        <w:rPr>
          <w:rFonts w:hint="eastAsia" w:ascii="仿宋_GB2312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中共湖南省委党校（湖南行政学院）</w:t>
      </w:r>
    </w:p>
    <w:p w14:paraId="6471D9A6">
      <w:pPr>
        <w:spacing w:line="560" w:lineRule="exact"/>
        <w:jc w:val="center"/>
        <w:rPr>
          <w:rFonts w:hint="eastAsia" w:ascii="Times New Roman" w:hAnsi="Times New Roman" w:eastAsia="仿宋_GB2312" w:cs="Times New Roman"/>
          <w:color w:val="auto"/>
          <w:sz w:val="30"/>
          <w:szCs w:val="30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 xml:space="preserve">                       202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</w:rPr>
        <w:t>日</w:t>
      </w:r>
    </w:p>
    <w:p w14:paraId="24AC1DE9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588" w:gutter="0"/>
          <w:cols w:space="720" w:num="1"/>
          <w:titlePg/>
          <w:docGrid w:type="linesAndChars" w:linePitch="634" w:charSpace="0"/>
        </w:sectPr>
      </w:pPr>
    </w:p>
    <w:p w14:paraId="2F0114A0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附件1</w:t>
      </w:r>
    </w:p>
    <w:p w14:paraId="0441877F">
      <w:pPr>
        <w:spacing w:before="510" w:beforeLines="8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年度部门整体支出绩效评价</w:t>
      </w:r>
    </w:p>
    <w:p w14:paraId="3AAD3446">
      <w:pPr>
        <w:spacing w:after="320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基础数据</w:t>
      </w:r>
      <w:r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表</w:t>
      </w:r>
    </w:p>
    <w:tbl>
      <w:tblPr>
        <w:tblStyle w:val="12"/>
        <w:tblW w:w="8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0" w:type="dxa"/>
          <w:right w:w="108" w:type="dxa"/>
        </w:tblCellMar>
      </w:tblPr>
      <w:tblGrid>
        <w:gridCol w:w="2470"/>
        <w:gridCol w:w="1036"/>
        <w:gridCol w:w="1086"/>
        <w:gridCol w:w="1064"/>
        <w:gridCol w:w="1077"/>
        <w:gridCol w:w="1064"/>
        <w:gridCol w:w="1120"/>
      </w:tblGrid>
      <w:tr w14:paraId="6A9B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vMerge w:val="restart"/>
            <w:noWrap w:val="0"/>
            <w:vAlign w:val="center"/>
          </w:tcPr>
          <w:p w14:paraId="14FBF4BF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财政供养人员情况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(人）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6A2B54A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编制数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2284A7E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年实际在职人数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0C03DB8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控制率</w:t>
            </w:r>
          </w:p>
        </w:tc>
      </w:tr>
      <w:tr w14:paraId="6EC0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vMerge w:val="continue"/>
            <w:noWrap w:val="0"/>
            <w:vAlign w:val="center"/>
          </w:tcPr>
          <w:p w14:paraId="3698AF2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22" w:type="dxa"/>
            <w:gridSpan w:val="2"/>
            <w:noWrap w:val="0"/>
            <w:vAlign w:val="center"/>
          </w:tcPr>
          <w:p w14:paraId="43A89EA5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49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15526A5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543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041F9FA2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83.67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%</w:t>
            </w:r>
          </w:p>
        </w:tc>
      </w:tr>
      <w:tr w14:paraId="5709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35E4B966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经费控制情况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（万元）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34CD4AB9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年决算数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433FB3F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年预算数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4E1DF22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年决算数</w:t>
            </w:r>
          </w:p>
        </w:tc>
      </w:tr>
      <w:tr w14:paraId="26EE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4115E23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三公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经费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：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17E2C262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78.44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4FD52DC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119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A5E92E5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93.31</w:t>
            </w:r>
          </w:p>
        </w:tc>
      </w:tr>
      <w:tr w14:paraId="4DC6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1589D727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pacing w:val="-11"/>
                <w:kern w:val="0"/>
                <w:sz w:val="20"/>
              </w:rPr>
              <w:t>公务用车购置和维护经费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7F9A8964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49.82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0A786AE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60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278E9DB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46.85</w:t>
            </w:r>
          </w:p>
        </w:tc>
      </w:tr>
      <w:tr w14:paraId="640B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2F3C80B5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其中：公车购置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04DC5AA8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0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7CBE577C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4927E46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0</w:t>
            </w:r>
          </w:p>
        </w:tc>
      </w:tr>
      <w:tr w14:paraId="00D5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0C8E9986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公车运行维护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7E17F546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49.82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5719DA68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60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C69BC04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46.85</w:t>
            </w:r>
          </w:p>
        </w:tc>
      </w:tr>
      <w:tr w14:paraId="70756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315CC1E4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出国经费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0F5CC0F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20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47A43AB2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43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A5B4D65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40</w:t>
            </w:r>
          </w:p>
        </w:tc>
      </w:tr>
      <w:tr w14:paraId="33E04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58824336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公务接待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0BDB0AC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8.62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644D8E8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16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45351EA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6.46</w:t>
            </w:r>
          </w:p>
        </w:tc>
      </w:tr>
      <w:tr w14:paraId="4C5A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7F8FDE7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项目支出：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7D98261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5774.40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6C950DD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5900.01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D7BC769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7289.88</w:t>
            </w:r>
          </w:p>
        </w:tc>
      </w:tr>
      <w:tr w14:paraId="6FEF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2BDBC8B9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业务工作经费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01287EB1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1204.00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493F600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2401.10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53D5407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2554.80</w:t>
            </w:r>
          </w:p>
        </w:tc>
      </w:tr>
      <w:tr w14:paraId="0143D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2470" w:type="dxa"/>
            <w:noWrap w:val="0"/>
            <w:vAlign w:val="center"/>
          </w:tcPr>
          <w:p w14:paraId="62C5500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其他事业发展资金</w:t>
            </w:r>
          </w:p>
        </w:tc>
        <w:tc>
          <w:tcPr>
            <w:tcW w:w="2122" w:type="dxa"/>
            <w:gridSpan w:val="2"/>
            <w:noWrap w:val="0"/>
            <w:vAlign w:val="bottom"/>
          </w:tcPr>
          <w:p w14:paraId="53BA8014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4570.40</w:t>
            </w:r>
          </w:p>
        </w:tc>
        <w:tc>
          <w:tcPr>
            <w:tcW w:w="2141" w:type="dxa"/>
            <w:gridSpan w:val="2"/>
            <w:noWrap w:val="0"/>
            <w:vAlign w:val="bottom"/>
          </w:tcPr>
          <w:p w14:paraId="36589DF7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3498.91</w:t>
            </w:r>
          </w:p>
        </w:tc>
        <w:tc>
          <w:tcPr>
            <w:tcW w:w="2184" w:type="dxa"/>
            <w:gridSpan w:val="2"/>
            <w:noWrap w:val="0"/>
            <w:vAlign w:val="bottom"/>
          </w:tcPr>
          <w:p w14:paraId="7201C99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6735.08</w:t>
            </w:r>
          </w:p>
        </w:tc>
      </w:tr>
      <w:tr w14:paraId="7412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14" w:hRule="exact"/>
          <w:jc w:val="center"/>
        </w:trPr>
        <w:tc>
          <w:tcPr>
            <w:tcW w:w="2470" w:type="dxa"/>
            <w:noWrap w:val="0"/>
            <w:vAlign w:val="center"/>
          </w:tcPr>
          <w:p w14:paraId="13012C4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……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6F36369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41" w:type="dxa"/>
            <w:gridSpan w:val="2"/>
            <w:noWrap w:val="0"/>
            <w:vAlign w:val="center"/>
          </w:tcPr>
          <w:p w14:paraId="5B33BAB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 w14:paraId="57B98D4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3809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2470" w:type="dxa"/>
            <w:noWrap w:val="0"/>
            <w:vAlign w:val="center"/>
          </w:tcPr>
          <w:p w14:paraId="47FFCCE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省级专项资金（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个专项一行）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570A702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41" w:type="dxa"/>
            <w:gridSpan w:val="2"/>
            <w:noWrap w:val="0"/>
            <w:vAlign w:val="center"/>
          </w:tcPr>
          <w:p w14:paraId="09EC92D1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 w14:paraId="1B632BE7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0E50E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230" w:hRule="exact"/>
          <w:jc w:val="center"/>
        </w:trPr>
        <w:tc>
          <w:tcPr>
            <w:tcW w:w="2470" w:type="dxa"/>
            <w:noWrap w:val="0"/>
            <w:vAlign w:val="center"/>
          </w:tcPr>
          <w:p w14:paraId="7CBDA39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……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5761C909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41" w:type="dxa"/>
            <w:gridSpan w:val="2"/>
            <w:noWrap w:val="0"/>
            <w:vAlign w:val="center"/>
          </w:tcPr>
          <w:p w14:paraId="4945AEBC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 w14:paraId="3F7BC798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5CA0F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03BDD004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公用经费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2E98247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2743.83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13A77387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2396.99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0057C2EA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2185.39</w:t>
            </w:r>
          </w:p>
        </w:tc>
      </w:tr>
      <w:tr w14:paraId="47F3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4AB2758C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其中：办公费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6677614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248.29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1919618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260.31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E5420C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197.90</w:t>
            </w:r>
          </w:p>
        </w:tc>
      </w:tr>
      <w:tr w14:paraId="441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33EF81D9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水费、电费、差旅费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554DE2BA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650.03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7A36E3E0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536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15A97AA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522.58</w:t>
            </w:r>
          </w:p>
        </w:tc>
      </w:tr>
      <w:tr w14:paraId="27359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62331B61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会议费、培训费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6FA9FA7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41.38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40B6AB16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87.18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797DA28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49.87</w:t>
            </w:r>
          </w:p>
        </w:tc>
      </w:tr>
      <w:tr w14:paraId="5DBF8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703AF848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政府采购金额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473A643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2247.05</w:t>
            </w:r>
          </w:p>
        </w:tc>
        <w:tc>
          <w:tcPr>
            <w:tcW w:w="2141" w:type="dxa"/>
            <w:gridSpan w:val="2"/>
            <w:noWrap w:val="0"/>
            <w:vAlign w:val="center"/>
          </w:tcPr>
          <w:p w14:paraId="48D7B16E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1522.78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 w14:paraId="384CA85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1217.18</w:t>
            </w:r>
          </w:p>
        </w:tc>
      </w:tr>
      <w:tr w14:paraId="457E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2470" w:type="dxa"/>
            <w:noWrap w:val="0"/>
            <w:vAlign w:val="center"/>
          </w:tcPr>
          <w:p w14:paraId="0F8C24E6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部门基本支出预算调整</w:t>
            </w:r>
          </w:p>
        </w:tc>
        <w:tc>
          <w:tcPr>
            <w:tcW w:w="2122" w:type="dxa"/>
            <w:gridSpan w:val="2"/>
            <w:noWrap w:val="0"/>
            <w:vAlign w:val="center"/>
          </w:tcPr>
          <w:p w14:paraId="2CAAA32F">
            <w:pPr>
              <w:pStyle w:val="11"/>
              <w:keepNext w:val="0"/>
              <w:keepLines w:val="0"/>
              <w:suppressLineNumbers w:val="0"/>
              <w:tabs>
                <w:tab w:val="left" w:pos="499"/>
              </w:tabs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41" w:type="dxa"/>
            <w:gridSpan w:val="2"/>
            <w:noWrap w:val="0"/>
            <w:vAlign w:val="center"/>
          </w:tcPr>
          <w:p w14:paraId="639D178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2184" w:type="dxa"/>
            <w:gridSpan w:val="2"/>
            <w:noWrap w:val="0"/>
            <w:vAlign w:val="center"/>
          </w:tcPr>
          <w:p w14:paraId="5FD34C79">
            <w:pPr>
              <w:pStyle w:val="11"/>
              <w:keepNext w:val="0"/>
              <w:keepLines w:val="0"/>
              <w:suppressLineNumbers w:val="0"/>
              <w:tabs>
                <w:tab w:val="left" w:pos="499"/>
              </w:tabs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6274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2470" w:type="dxa"/>
            <w:vMerge w:val="restart"/>
            <w:noWrap w:val="0"/>
            <w:vAlign w:val="center"/>
          </w:tcPr>
          <w:p w14:paraId="290F401F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楼堂馆所控制情况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（202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年完工项目）</w:t>
            </w:r>
          </w:p>
        </w:tc>
        <w:tc>
          <w:tcPr>
            <w:tcW w:w="1036" w:type="dxa"/>
            <w:noWrap w:val="0"/>
            <w:vAlign w:val="center"/>
          </w:tcPr>
          <w:p w14:paraId="14F87FD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批复规模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（㎡）</w:t>
            </w:r>
          </w:p>
        </w:tc>
        <w:tc>
          <w:tcPr>
            <w:tcW w:w="1086" w:type="dxa"/>
            <w:noWrap w:val="0"/>
            <w:vAlign w:val="center"/>
          </w:tcPr>
          <w:p w14:paraId="613D537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实际规模（㎡）</w:t>
            </w:r>
          </w:p>
        </w:tc>
        <w:tc>
          <w:tcPr>
            <w:tcW w:w="1064" w:type="dxa"/>
            <w:noWrap w:val="0"/>
            <w:vAlign w:val="center"/>
          </w:tcPr>
          <w:p w14:paraId="111E0DE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规模</w:t>
            </w:r>
          </w:p>
          <w:p w14:paraId="6D3DCC4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控制率</w:t>
            </w:r>
          </w:p>
        </w:tc>
        <w:tc>
          <w:tcPr>
            <w:tcW w:w="1077" w:type="dxa"/>
            <w:noWrap w:val="0"/>
            <w:vAlign w:val="center"/>
          </w:tcPr>
          <w:p w14:paraId="770228B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预算投资（万元）</w:t>
            </w:r>
          </w:p>
        </w:tc>
        <w:tc>
          <w:tcPr>
            <w:tcW w:w="1064" w:type="dxa"/>
            <w:noWrap w:val="0"/>
            <w:vAlign w:val="center"/>
          </w:tcPr>
          <w:p w14:paraId="419586B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0"/>
              </w:rPr>
              <w:t>实际投资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（万元）</w:t>
            </w:r>
          </w:p>
        </w:tc>
        <w:tc>
          <w:tcPr>
            <w:tcW w:w="1120" w:type="dxa"/>
            <w:noWrap w:val="0"/>
            <w:vAlign w:val="center"/>
          </w:tcPr>
          <w:p w14:paraId="236AFAC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投资概算控制率</w:t>
            </w:r>
          </w:p>
        </w:tc>
      </w:tr>
      <w:tr w14:paraId="07C3C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2470" w:type="dxa"/>
            <w:vMerge w:val="continue"/>
            <w:noWrap w:val="0"/>
            <w:vAlign w:val="center"/>
          </w:tcPr>
          <w:p w14:paraId="50019027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036" w:type="dxa"/>
            <w:noWrap w:val="0"/>
            <w:vAlign w:val="center"/>
          </w:tcPr>
          <w:p w14:paraId="3CDA831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086" w:type="dxa"/>
            <w:noWrap w:val="0"/>
            <w:vAlign w:val="center"/>
          </w:tcPr>
          <w:p w14:paraId="20CEDEBD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54064888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A2F050B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064" w:type="dxa"/>
            <w:noWrap w:val="0"/>
            <w:vAlign w:val="center"/>
          </w:tcPr>
          <w:p w14:paraId="178F29B1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7888377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28FB3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2470" w:type="dxa"/>
            <w:noWrap w:val="0"/>
            <w:vAlign w:val="center"/>
          </w:tcPr>
          <w:p w14:paraId="6CE8D2FF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厉行节约保障措施</w:t>
            </w:r>
          </w:p>
        </w:tc>
        <w:tc>
          <w:tcPr>
            <w:tcW w:w="6447" w:type="dxa"/>
            <w:gridSpan w:val="6"/>
            <w:noWrap w:val="0"/>
            <w:vAlign w:val="center"/>
          </w:tcPr>
          <w:p w14:paraId="47DD2B33">
            <w:pPr>
              <w:pStyle w:val="11"/>
              <w:keepNext w:val="0"/>
              <w:keepLines w:val="0"/>
              <w:suppressLineNumbers w:val="0"/>
              <w:spacing w:before="0" w:beforeAutospacing="0" w:afterLines="0" w:afterAutospacing="0" w:line="24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校（院）严格落实“习惯过紧日子”要求，始终从讲政治高度坚决落实“零基预算”改革要求，厉行勤俭节约，坚决压缩非必要不合理开支，规范公务接待，严格公务用车管理，规范差旅管理，带头精简办文办会，优化资源配置。确保每一分钱都用在保障教学科研的“刀刃上”。</w:t>
            </w:r>
          </w:p>
        </w:tc>
      </w:tr>
    </w:tbl>
    <w:p w14:paraId="6738C715">
      <w:pPr>
        <w:spacing w:before="126" w:beforeLines="20" w:line="280" w:lineRule="exact"/>
        <w:ind w:firstLine="480" w:firstLineChars="200"/>
        <w:rPr>
          <w:rFonts w:hint="eastAsia" w:ascii="楷体_GB2312" w:hAnsi="Times New Roman" w:eastAsia="楷体_GB2312" w:cs="Times New Roman"/>
          <w:color w:val="auto"/>
          <w:sz w:val="24"/>
          <w:szCs w:val="24"/>
        </w:rPr>
      </w:pPr>
      <w:r>
        <w:rPr>
          <w:rFonts w:hint="eastAsia" w:ascii="楷体_GB2312" w:hAnsi="Times New Roman" w:eastAsia="楷体_GB2312" w:cs="Times New Roman"/>
          <w:color w:val="auto"/>
          <w:sz w:val="24"/>
          <w:szCs w:val="24"/>
        </w:rPr>
        <w:t>说明：“项目支出”需要填报基本支出以外的所有项目支出情况，“公用经费”填报基本支出中的一般商品和服务支出。</w:t>
      </w:r>
    </w:p>
    <w:p w14:paraId="0C0101A2">
      <w:pPr>
        <w:spacing w:before="126" w:beforeLines="20" w:line="400" w:lineRule="exact"/>
        <w:rPr>
          <w:rFonts w:hint="eastAsia" w:ascii="黑体" w:hAnsi="黑体" w:eastAsia="黑体" w:cs="Times New Roman"/>
          <w:color w:val="auto"/>
          <w:sz w:val="32"/>
          <w:szCs w:val="32"/>
        </w:rPr>
      </w:pPr>
    </w:p>
    <w:p w14:paraId="75428352">
      <w:pPr>
        <w:spacing w:before="126" w:beforeLines="20" w:line="400" w:lineRule="exact"/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附件2</w:t>
      </w:r>
    </w:p>
    <w:p w14:paraId="38A36F0A">
      <w:pPr>
        <w:pStyle w:val="11"/>
        <w:spacing w:before="320" w:beforeLines="50" w:after="478" w:afterLines="75" w:afterAutospacing="0"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年度部门整体支出绩效自评表</w:t>
      </w:r>
    </w:p>
    <w:tbl>
      <w:tblPr>
        <w:tblStyle w:val="12"/>
        <w:tblW w:w="904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774"/>
        <w:gridCol w:w="609"/>
        <w:gridCol w:w="1275"/>
        <w:gridCol w:w="338"/>
        <w:gridCol w:w="699"/>
        <w:gridCol w:w="636"/>
        <w:gridCol w:w="768"/>
        <w:gridCol w:w="564"/>
        <w:gridCol w:w="36"/>
        <w:gridCol w:w="663"/>
        <w:gridCol w:w="270"/>
        <w:gridCol w:w="481"/>
        <w:gridCol w:w="1023"/>
      </w:tblGrid>
      <w:tr w14:paraId="18877504">
        <w:trPr>
          <w:trHeight w:val="800" w:hRule="atLeas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C94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省级预算部门名  称</w:t>
            </w:r>
          </w:p>
        </w:tc>
        <w:tc>
          <w:tcPr>
            <w:tcW w:w="8136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0DE9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中共湖南省委党校（湖南行政学院）</w:t>
            </w:r>
          </w:p>
        </w:tc>
      </w:tr>
      <w:tr w14:paraId="6F015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90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8688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年度预</w:t>
            </w:r>
          </w:p>
          <w:p w14:paraId="285326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算申请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（万元）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1E7F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BDAA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年初</w:t>
            </w:r>
          </w:p>
          <w:p w14:paraId="4532205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预算数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7979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全年</w:t>
            </w:r>
          </w:p>
          <w:p w14:paraId="0D40B1D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预算数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7B7C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全年执行数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9EAB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分值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3EB1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执行率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BA8B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得分</w:t>
            </w:r>
          </w:p>
        </w:tc>
      </w:tr>
      <w:tr w14:paraId="049CD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exact"/>
          <w:jc w:val="center"/>
        </w:trPr>
        <w:tc>
          <w:tcPr>
            <w:tcW w:w="90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627F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232317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年度资金总额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C030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21868.68</w:t>
            </w:r>
          </w:p>
        </w:tc>
        <w:tc>
          <w:tcPr>
            <w:tcW w:w="10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E059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8496.66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A82A5">
            <w:pPr>
              <w:pStyle w:val="11"/>
              <w:keepNext w:val="0"/>
              <w:keepLines w:val="0"/>
              <w:suppressLineNumbers w:val="0"/>
              <w:tabs>
                <w:tab w:val="left" w:pos="499"/>
              </w:tabs>
              <w:spacing w:before="0" w:beforeAutospacing="0" w:after="0" w:afterLines="0" w:afterAutospacing="0" w:line="220" w:lineRule="exact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23407.25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C0F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E313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82.14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%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D16D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8.3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分</w:t>
            </w:r>
          </w:p>
        </w:tc>
      </w:tr>
      <w:tr w14:paraId="3ABF8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0627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36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1561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按收入性质分：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964F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按支出性质分：</w:t>
            </w:r>
          </w:p>
        </w:tc>
      </w:tr>
      <w:tr w14:paraId="1B4E5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B3E5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36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60A3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其中：一般公共预算：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8496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64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3749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其中：基本支出：1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9206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78</w:t>
            </w:r>
          </w:p>
        </w:tc>
      </w:tr>
      <w:tr w14:paraId="0D03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95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36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98AE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600" w:firstLineChars="30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政府性基金拨款：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5F4C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600" w:firstLineChars="300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9289.88</w:t>
            </w:r>
          </w:p>
        </w:tc>
      </w:tr>
      <w:tr w14:paraId="755FC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D0DA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36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BBA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 xml:space="preserve">     纳入专户管理的非税收入拨款：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7C4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71CFD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B63A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36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8C20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600" w:firstLineChars="300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其他资金：</w:t>
            </w:r>
          </w:p>
        </w:tc>
        <w:tc>
          <w:tcPr>
            <w:tcW w:w="4441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A269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75E7D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  <w:jc w:val="center"/>
        </w:trPr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27F8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年度总体目标</w:t>
            </w:r>
          </w:p>
        </w:tc>
        <w:tc>
          <w:tcPr>
            <w:tcW w:w="3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E767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预期目标</w:t>
            </w:r>
          </w:p>
        </w:tc>
        <w:tc>
          <w:tcPr>
            <w:tcW w:w="4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A19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实际完成情况</w:t>
            </w:r>
          </w:p>
        </w:tc>
      </w:tr>
      <w:tr w14:paraId="1FD89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6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954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36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D1D4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10" w:lineRule="exact"/>
              <w:ind w:left="0" w:leftChars="0" w:right="0" w:firstLine="360" w:firstLineChars="18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培训与教学规模预期目标：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全年计划举办各类培训班次550个以上，培训总人次达到4.5万人次以上。其中，校本部承办省委交办的专题研讨班不少于6期，举办基本培训班75个以上；湖南韶山干部学院举办基本培训班18个以上；完成重点委托班次120个以上，培训1.8万人次以上。面向基层和企业举办政策业务宣讲不少于5期，培训4.5万人次以上；全面从严治党教育中心接待参观学习900场以上、4万人次以上；义务送教下基层180次以上。国际培训方面，举办外国官员研修班（含线上）至少2期，培训外国官员40人次以上，确保海外教育培训基地正式挂牌并开展至少1期培训或交流活动。</w:t>
            </w:r>
          </w:p>
          <w:p w14:paraId="321D5C2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10" w:lineRule="exact"/>
              <w:ind w:left="0" w:leftChars="0" w:right="0" w:firstLine="360" w:firstLineChars="18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课程开发与教学质量预期目标：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全年组织校级集体备课不少于5批次，新打造课程80堂以上，力争2门以上课程获评中组部“全国好课程”。教材建设与理论宣传读本项目立项不少于10项。正式出台并实施《集体备课管理办法》，举办1次全省党校系统教学比赛。领导干部上讲台授课占基本培训课时比例不低于28%。开展跨省互换式教学不少于3次，组织中青班与市级党校混合编班并赴异地教学至少1期，实现主体班学员国防与应急教育全覆盖。举办“外交外事进党校”“红色故事会”等活动各至少1次，完成学员“两带来”答疑交流及论文指导250篇以上。</w:t>
            </w:r>
          </w:p>
          <w:p w14:paraId="10202E9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10" w:lineRule="exact"/>
              <w:ind w:left="0" w:leftChars="0" w:right="0" w:firstLine="360" w:firstLineChars="18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科研项目与咨政服务预期目标：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全年力争立项国家社科基金项目5项以上（保持全国省级党校前列），立项省部级项目60项以上（其中全国党校系统社科规划项目不少于4项，省社科基金项目不少于15项）。撰写咨政报告50篇以上，获得副省级及以上领导肯定性批示不少于35篇（其中正省级及以上不少于25篇）。保持或新增至少1个省级新型智库（合作智库），继续获评“湖南省当代中国马克思主义研究中心优秀分中心”，争取国家社科基金项目管理经验至少获得1次上级推介。</w:t>
            </w:r>
          </w:p>
          <w:p w14:paraId="67C6BA2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10" w:lineRule="exact"/>
              <w:ind w:left="0" w:leftChars="0" w:right="0" w:firstLine="360" w:firstLineChars="18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学科建设与研究生教育预期目标：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持续优化“3237”学科体系，确保纪检监察教研部、湖南干部教育与人才发展研究中心独立运行，稳步推进5个二级学科和2个学科方向的培育。通过哲学一级学科专项评估和社会工作硕士点复评，确保4个学位授权点顺利通过2020—2025年周期性合格评估。成立并运行“湖南省宗教院校思政课教研中心”。全年招收硕士研究生75人以上，毕业90人以上。</w:t>
            </w:r>
          </w:p>
          <w:p w14:paraId="7E41B3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10" w:lineRule="exact"/>
              <w:ind w:left="0" w:leftChars="0" w:right="0" w:firstLine="360" w:firstLineChars="180"/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仿宋_GB2312" w:hAnsi="宋体" w:eastAsia="仿宋_GB2312" w:cs="宋体"/>
                <w:b/>
                <w:bCs/>
                <w:color w:val="auto"/>
                <w:kern w:val="0"/>
                <w:sz w:val="20"/>
                <w:szCs w:val="20"/>
              </w:rPr>
              <w:t>思想宣传与国际交流预期目标：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0"/>
              </w:rPr>
              <w:t>承办“湘江大讲堂”10期以上，参与1万人次以上；拍摄并推出微党课系列，单系列总点击量达到150万次以上；组织校内15名以上专家解读省政府工作报告。全年公开发表论文280篇以上，其中中央“三报一刊”不少于12篇，湖南“一报一刊”不少于60篇，核心及以上期刊不少于110篇，出版著作15部以上。确保《湖南干部教育培训研究》专业期刊正式出刊至少1期，至少有1篇论文入选全国性重要学术会议。国际交流方面，赴境外交流访问国家不少于3个，在援外班次讲学20场以上；参加至少1次国际学术会议（如IASIA年会等）；举办双边或多边学术视频会议至少1次；接待国外考察团组不少于2批；力争国际传播工作经验获得中央党校推介至少1次。</w:t>
            </w:r>
          </w:p>
        </w:tc>
        <w:tc>
          <w:tcPr>
            <w:tcW w:w="44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AC0B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498"/>
              </w:tabs>
              <w:spacing w:before="0" w:beforeAutospacing="0" w:after="0" w:afterAutospacing="0" w:line="210" w:lineRule="exact"/>
              <w:ind w:left="0" w:right="0" w:firstLine="400" w:firstLineChars="200"/>
              <w:jc w:val="both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1.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举办各类培训班次562个，培训45930余人次，其中校本部承办省委交办的专题研讨班6个（1203人），举办基本培训班79个（4351人）；湖南韶山干部学院举办基本培训班次19个（826人）。完成133个重点委托班次，培训1.9万余人次。开展校级集体备课6批次，共打造新课程89堂，3门课程获评中组部全国干部教育培训好课程。</w:t>
            </w:r>
          </w:p>
          <w:p w14:paraId="349275B3">
            <w:pPr>
              <w:keepNext w:val="0"/>
              <w:keepLines w:val="0"/>
              <w:suppressLineNumbers w:val="0"/>
              <w:tabs>
                <w:tab w:val="left" w:pos="498"/>
              </w:tabs>
              <w:spacing w:before="0" w:beforeAutospacing="0" w:after="0" w:afterAutospacing="0" w:line="210" w:lineRule="exact"/>
              <w:ind w:left="0" w:right="0" w:firstLine="400" w:firstLineChars="200"/>
              <w:jc w:val="both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举办5期政策业务宣讲，培训基层干部、企业人员5万余名。全面从严治党教育中心接待参观学习1055场（46590人次）。在老挝挂牌成立首个海外教育培训基地；参加世界平衡会议和IASIA年会；对古巴等6国开展交流访问；在援外班次讲学22场。与马达加斯加国家行政学院联合举办“治国理政”学术交流视频会议。接待斯里兰卡高级政府官员研修班等4个国外考察团。举办第一期东帝汶政府中高级官员、第五期老挝地方政府中高级领导干部湖南研修班，培训外国官员50余人次。湖南韶山干部学院承办老挝地方政府中高级干部湖南研修班、东帝汶政府中高级官员湖南研修班、澳门中青年人才国情研修班等各类常规委托培训班次286期，累计培训学员68581人次。</w:t>
            </w:r>
          </w:p>
          <w:p w14:paraId="2F8C13AE">
            <w:pPr>
              <w:keepNext w:val="0"/>
              <w:keepLines w:val="0"/>
              <w:suppressLineNumbers w:val="0"/>
              <w:tabs>
                <w:tab w:val="left" w:pos="498"/>
              </w:tabs>
              <w:spacing w:before="0" w:beforeAutospacing="0" w:after="0" w:afterAutospacing="0" w:line="210" w:lineRule="exact"/>
              <w:ind w:left="0" w:right="0" w:firstLine="400" w:firstLineChars="200"/>
              <w:jc w:val="both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.推进教研咨一体化创新工程教学创新项目，立项高质量课程开发项目114项、教材建设与理论宣传读本项目13项。举办全省党校第十六次教学比赛。落实领导干部上讲台制度，邀请领导干部、专家教授授课195人次，占基本培训课时29.69%。组织4个基本培训班与贵州等省级党校互换式教学；组织中青班与4个市级党校中青班“混合编班”，赴上海等地异地教学；组织学员赴省人武学校等地开展国防与应急教育。与省委外事办合作开展“外交外事进党校”活动；与省文旅厅合作举办“信仰的力量”红色故事会。开展“两带来”答疑交流，安排论文指导289篇。湖南韶山干部学院制定《课题开发三年行动计划（2025—2027年）》，立项课程13堂，其中5堂课程入选全省党校（行政学院）系统2024年度“高质量课程开发”项目，均已顺利结项。</w:t>
            </w:r>
          </w:p>
          <w:p w14:paraId="3CEE9DD9">
            <w:pPr>
              <w:keepNext w:val="0"/>
              <w:keepLines w:val="0"/>
              <w:suppressLineNumbers w:val="0"/>
              <w:tabs>
                <w:tab w:val="left" w:pos="498"/>
              </w:tabs>
              <w:spacing w:before="0" w:beforeAutospacing="0" w:after="0" w:afterAutospacing="0" w:line="210" w:lineRule="exact"/>
              <w:ind w:left="0" w:right="0" w:firstLine="400" w:firstLineChars="200"/>
              <w:jc w:val="both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4.公开发表论文430余篇，开展“智库选题策划会”11期，领题破题80项，孵化成果40余项。立项国家社科基金项目6项（居全国省级党校第6、中部第1位）；立项省部级项目63项，其中全国党校（行政学院）系统社科规划项目5项（居全国省级党校第2、中部第1），省社科基金项目18项。撰写咨政报告54篇（38篇获副省级及以上领导肯定性批示，其中30篇获正省级及以上领导批示）。校（院）被评为“2024年度湖南省当代中国马克思主义研究中心优秀分中心”。校（院）国家社科基金项目管理工作经验获中央党校《科研工作简讯》推介。湖南韶山干部学院主持立项课题3项，参与立项课题2项；主持6项课题结项，参与3项课题结项；在光明日报、解放军报等报纸期刊上公开发表学术著作17篇，内部刊物发表2篇，7篇论文在各类学会会议征文中获奖；参与编写著作3本；4项决策咨询成果获省委主要领导批示，1项被采纳，其中1项为学院教职工主持。</w:t>
            </w:r>
          </w:p>
          <w:p w14:paraId="0D4E62D8">
            <w:pPr>
              <w:keepNext w:val="0"/>
              <w:keepLines w:val="0"/>
              <w:suppressLineNumbers w:val="0"/>
              <w:tabs>
                <w:tab w:val="left" w:pos="498"/>
              </w:tabs>
              <w:spacing w:before="0" w:beforeAutospacing="0" w:after="0" w:afterAutospacing="0" w:line="210" w:lineRule="exact"/>
              <w:ind w:left="0" w:right="0" w:firstLine="400" w:firstLineChars="200"/>
              <w:jc w:val="both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5.持续优化“3237”学科布局，巩固哲学、政治学、公共管理学3个传统一级学科；提升马克思主义理论、中共党史党建学2个优势一级学科；发展纪检监察学、理论经济学、社会学3个一级学科，培育干部教育学、统一战线学、党内法规学、纪检监察理论、应急管理5个二级学科及人才学、干部法治教育学2个学科方向，构建“雁阵式”学科体系。纪检监察教研部、湖南干部教育与人才发展研究中心已独立运行。做好哲学一级学科专项评估和社会工作硕士点复评工作，4个学位授权点通过2020—2025年周期性合格评估。成立“湖南省宗教院校思政课教研中心”。2025年招收硕士78人，毕业97人。</w:t>
            </w:r>
          </w:p>
        </w:tc>
      </w:tr>
      <w:tr w14:paraId="0AC31928">
        <w:trPr>
          <w:trHeight w:val="1038" w:hRule="atLeast"/>
          <w:jc w:val="center"/>
        </w:trPr>
        <w:tc>
          <w:tcPr>
            <w:tcW w:w="9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9DE6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绩</w:t>
            </w:r>
          </w:p>
          <w:p w14:paraId="7D947F6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效</w:t>
            </w:r>
          </w:p>
          <w:p w14:paraId="00B89EA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</w:t>
            </w:r>
          </w:p>
          <w:p w14:paraId="5459F86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标</w:t>
            </w:r>
          </w:p>
          <w:p w14:paraId="5942639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27EE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一级</w:t>
            </w:r>
          </w:p>
          <w:p w14:paraId="6609F65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指标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C054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二级指标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DD5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三级指标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C8D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年度</w:t>
            </w:r>
          </w:p>
          <w:p w14:paraId="6E06219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指标值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16DB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实际完成值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5CF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分值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6A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得分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58DF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偏差原因分析及改进措施</w:t>
            </w:r>
          </w:p>
        </w:tc>
      </w:tr>
      <w:tr w14:paraId="40FD2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16C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82B5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产出</w:t>
            </w:r>
          </w:p>
          <w:p w14:paraId="7A919B6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指标</w:t>
            </w:r>
          </w:p>
          <w:p w14:paraId="00460BF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(50分)</w:t>
            </w: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627D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数</w:t>
            </w:r>
          </w:p>
          <w:p w14:paraId="13B6EAA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量</w:t>
            </w:r>
          </w:p>
          <w:p w14:paraId="05AA412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</w:t>
            </w:r>
          </w:p>
          <w:p w14:paraId="720DB48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09F3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本级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培训人数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592D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45000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人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E512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45930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FB9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84FD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3B4C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767BB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2FBE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1E36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4471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B721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培训班次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AF4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500个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CFEF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562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7247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7B66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B229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6E020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D10B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59A8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443E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3F10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研究生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招生数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977E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70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人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EE79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78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4500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4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17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1F4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26787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E4A0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8F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0DC6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9D27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发表论文数量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6245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00篇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A155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0篇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B498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577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40C1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4B984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ECF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5FB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41C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9F38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义务送教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E961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150次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6349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200余次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4EFB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748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0FD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756E48DA">
        <w:trPr>
          <w:trHeight w:val="491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953C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D042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9CE2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质</w:t>
            </w:r>
          </w:p>
          <w:p w14:paraId="30A59C1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量</w:t>
            </w:r>
          </w:p>
          <w:p w14:paraId="03863AF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</w:t>
            </w:r>
          </w:p>
          <w:p w14:paraId="3DF94AE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1D75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基本培训班教学考核得分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415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≥95分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BBE6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97.79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分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854A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B08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35F1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72FA5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E655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B04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32B9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857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研究生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毕业率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612C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≥96%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486A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97.6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%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73A1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4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283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4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C172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0F7BB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C18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8CB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88D9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D999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国家和省级课题立项数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A83B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≥10项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A469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45项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CDF6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7B78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F126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16DAC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F465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E933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3612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94F2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学术专著</w:t>
            </w:r>
          </w:p>
          <w:p w14:paraId="58724F1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出版率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3AB0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≥95%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0EB3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100%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FA75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70CE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EA56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2EA6400E">
        <w:trPr>
          <w:trHeight w:val="821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8B5B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C66D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4EAD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时</w:t>
            </w:r>
          </w:p>
          <w:p w14:paraId="20F49C6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效</w:t>
            </w:r>
          </w:p>
          <w:p w14:paraId="06EE500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</w:t>
            </w:r>
          </w:p>
          <w:p w14:paraId="3E2B83C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403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基本培训班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、轮训班和读书班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培训完成时间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9FE2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当年完成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3647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当年完成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E48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DD3A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0894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14023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775F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A6AA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63D4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C2D8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研究生</w:t>
            </w:r>
          </w:p>
          <w:p w14:paraId="77C6D0C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培养时间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D80F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按研究生培养计划进行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BFDE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按期完成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8D2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02C8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71AF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2E5F4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1FD4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BD94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BF76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8D0E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国家级和省级课题完成时间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1863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</w:rPr>
              <w:t>按课题结项时间如期结项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F2A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 xml:space="preserve">按课题计划进行 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FF94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BB91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A6C9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672FD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FEE9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AECC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32EF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292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学术专著出版</w:t>
            </w:r>
          </w:p>
          <w:p w14:paraId="2A63F09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时间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2C02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当年完成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C128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当年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完成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9F19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9B4C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E1ED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2BD6BBF0">
        <w:trPr>
          <w:trHeight w:val="630" w:hRule="exac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3571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3149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241F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成</w:t>
            </w:r>
          </w:p>
          <w:p w14:paraId="48BFC1E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本</w:t>
            </w:r>
          </w:p>
          <w:p w14:paraId="46C9147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</w:t>
            </w:r>
          </w:p>
          <w:p w14:paraId="557DAEC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ABC3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整体支出预算控制率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ECD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≤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100%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6F66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0%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88EF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5DD6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11B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13"/>
                <w:szCs w:val="13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13"/>
                <w:szCs w:val="13"/>
              </w:rPr>
              <w:t>年中追加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13"/>
                <w:szCs w:val="13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13"/>
                <w:szCs w:val="13"/>
                <w:lang w:val="en-US" w:eastAsia="zh-CN"/>
              </w:rPr>
              <w:t>6+1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13"/>
                <w:szCs w:val="13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13"/>
                <w:szCs w:val="13"/>
                <w:lang w:val="en-US" w:eastAsia="zh-CN"/>
              </w:rPr>
              <w:t>等项目经费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13"/>
                <w:szCs w:val="13"/>
              </w:rPr>
              <w:t>。</w:t>
            </w:r>
          </w:p>
        </w:tc>
      </w:tr>
      <w:tr w14:paraId="49E8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56FA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0851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3280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B9E4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“三公”经费控制率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6CA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≤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100%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3975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90%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C545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CF4C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D655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5B0F833C">
        <w:trPr>
          <w:trHeight w:val="56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42D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19AB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B287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0E2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公用经费</w:t>
            </w:r>
          </w:p>
          <w:p w14:paraId="7A4D0AB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控制率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E0B2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≤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100%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A25E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99%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F259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2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FDA8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 xml:space="preserve">2     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D12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68800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BA3E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F41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效益指标</w:t>
            </w:r>
          </w:p>
          <w:p w14:paraId="364E96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(30分)</w:t>
            </w:r>
          </w:p>
        </w:tc>
        <w:tc>
          <w:tcPr>
            <w:tcW w:w="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45CD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经济</w:t>
            </w:r>
          </w:p>
          <w:p w14:paraId="02D1895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效益</w:t>
            </w:r>
          </w:p>
          <w:p w14:paraId="16B275F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F8C3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乡村振兴点集体经营收入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497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30万元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D465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100万元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265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4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63E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4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1F92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415E54ED">
        <w:trPr>
          <w:trHeight w:val="214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AF65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028C5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8E79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社</w:t>
            </w:r>
          </w:p>
          <w:p w14:paraId="68A43ED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会</w:t>
            </w:r>
          </w:p>
          <w:p w14:paraId="4E4350B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效</w:t>
            </w:r>
          </w:p>
          <w:p w14:paraId="61A2A29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益</w:t>
            </w:r>
          </w:p>
          <w:p w14:paraId="446C1DA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</w:t>
            </w:r>
          </w:p>
          <w:p w14:paraId="6940FCF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E80526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社会影响力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8BF19A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发挥党校教师理论优势，学员实践优势，学校决策咨询功能</w:t>
            </w: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推动湖南干部教育培训事业的发展。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C444C2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充分发挥了党校干部培训主渠道、思想建设主阵地作用，推动了湖南干部教育培训事业的发展。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8A6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FDF6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4B16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54AFC8EB">
        <w:trPr>
          <w:trHeight w:val="266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8C03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E53A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9251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9C2FE9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基本培训班学员党性修养和政治素养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713FE8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提高主体班学员的党性修养、政治素养和管理能力，能够更好的为党的事业和湖南省的建设贡献力量。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05D12F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通过培训，</w:t>
            </w: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有力促进了党员干部政治素质、理论素养、党性修养和履职本领的提高，使其在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湖南</w:t>
            </w: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“三高四新”美好蓝图建设中更好地发挥作用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。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9139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6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C7F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6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1552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69A96B78">
        <w:trPr>
          <w:trHeight w:val="1931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3706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A62D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E276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AD7D3E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研究生专业能力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16AE3A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提高学生的专业能力和综合素质，使他们能够在工作岗位发挥所长，推动社会进步和发展。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9B01CA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培养了一批专业能力强和综合素质高的硕士研究生，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研究生的就业和创业能力进一步提升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D2D5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4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4301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4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821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1634E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49FE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A122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C94B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生态效益指标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9A8D3B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帮扶村生活</w:t>
            </w:r>
          </w:p>
          <w:p w14:paraId="6092834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环境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2E982C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提高帮扶村居民的生活环境质量。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8F5AE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开展驻村结对帮扶，完善</w:t>
            </w:r>
            <w:r>
              <w:rPr>
                <w:rFonts w:hint="default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了振兴点</w:t>
            </w: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基础设施，改善了人居环境。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113A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3BB5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3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431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0F6CF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8B23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744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5579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8FB717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校（院）环境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F2775D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依法依规对党校后街违建建筑进行拆除，并进行提质改造。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C6913F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spacing w:val="-12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0"/>
                <w:szCs w:val="22"/>
              </w:rPr>
              <w:t>校园环境得到明显改善</w:t>
            </w:r>
            <w:r>
              <w:rPr>
                <w:rFonts w:hint="default" w:ascii="宋体" w:hAnsi="宋体" w:eastAsia="宋体" w:cs="宋体"/>
                <w:color w:val="auto"/>
                <w:spacing w:val="-12"/>
                <w:kern w:val="0"/>
                <w:sz w:val="20"/>
                <w:szCs w:val="22"/>
              </w:rPr>
              <w:t>。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848A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3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AB79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3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2BA5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47A09375">
        <w:trPr>
          <w:trHeight w:val="2560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F54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D4FE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17AB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可持续影响指标</w:t>
            </w:r>
          </w:p>
        </w:tc>
        <w:tc>
          <w:tcPr>
            <w:tcW w:w="16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568A91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办学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条件和能力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07BF3E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通过人才建设、基础设施改善、信息化建设加强，不断提高校（院）的办学条件和办学能力。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D17AB1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rPr>
                <w:rFonts w:hint="default" w:ascii="宋体" w:hAnsi="宋体" w:eastAsia="宋体" w:cs="宋体"/>
                <w:color w:val="auto"/>
                <w:spacing w:val="-4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spacing w:val="-4"/>
                <w:kern w:val="0"/>
                <w:sz w:val="20"/>
                <w:szCs w:val="22"/>
              </w:rPr>
              <w:t>通过人才建设、基础设施改善、信息化建设加强，校（院）的办学条件和办学能力不断向好，校（院）不断向高质量发展。</w:t>
            </w:r>
          </w:p>
        </w:tc>
        <w:tc>
          <w:tcPr>
            <w:tcW w:w="6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8B3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5</w:t>
            </w:r>
          </w:p>
        </w:tc>
        <w:tc>
          <w:tcPr>
            <w:tcW w:w="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83E9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5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49CE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</w:pPr>
          </w:p>
        </w:tc>
      </w:tr>
      <w:tr w14:paraId="51B4D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D279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E33C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满意度</w:t>
            </w:r>
          </w:p>
          <w:p w14:paraId="33ED02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指标</w:t>
            </w:r>
          </w:p>
          <w:p w14:paraId="463B459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(10分)</w:t>
            </w:r>
          </w:p>
        </w:tc>
        <w:tc>
          <w:tcPr>
            <w:tcW w:w="6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4C17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服务对象满意度指标</w:t>
            </w: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90A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学员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满意度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13C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≥95%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B23B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100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%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63E7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6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1B2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7D0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4272B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9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A494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A7F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60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9E25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9E0B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社会公众投诉率/投诉次数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5023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≤3次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D89A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0次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564A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4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177E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E92B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2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  <w:tr w14:paraId="67F2CD83">
        <w:trPr>
          <w:trHeight w:val="491" w:hRule="atLeast"/>
          <w:jc w:val="center"/>
        </w:trPr>
        <w:tc>
          <w:tcPr>
            <w:tcW w:w="65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72A37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总分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62F4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100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9466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7.3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9FA3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</w:p>
        </w:tc>
      </w:tr>
    </w:tbl>
    <w:p w14:paraId="224D9CFC">
      <w:pPr>
        <w:spacing w:before="190" w:beforeLines="30" w:line="240" w:lineRule="exact"/>
        <w:rPr>
          <w:rFonts w:hint="eastAsia" w:ascii="仿宋_GB2312" w:hAnsi="Times New Roman" w:eastAsia="仿宋_GB2312" w:cs="Times New Roman"/>
          <w:color w:val="auto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填表人：吴丹                             填报日期：202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年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月1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日</w:t>
      </w:r>
    </w:p>
    <w:p w14:paraId="7F0AFB7A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2340AAD4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0E8EFC46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57CEE37F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291A8981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0A5EC3FE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1F3B6EC4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244E22F6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28273E4F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51645E08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0D8E54CC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32C9D1DB">
      <w:pPr>
        <w:pStyle w:val="11"/>
        <w:spacing w:afterLines="0" w:afterAutospacing="0"/>
        <w:ind w:left="0" w:leftChars="0" w:firstLine="0" w:firstLineChars="0"/>
        <w:rPr>
          <w:rFonts w:ascii="Times New Roman" w:hAnsi="Times New Roman" w:eastAsia="宋体" w:cs="Times New Roman"/>
          <w:color w:val="auto"/>
          <w:kern w:val="0"/>
          <w:sz w:val="20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color w:val="auto"/>
          <w:kern w:val="0"/>
          <w:sz w:val="32"/>
          <w:szCs w:val="32"/>
        </w:rPr>
        <w:t>3</w:t>
      </w:r>
    </w:p>
    <w:p w14:paraId="53572A1E">
      <w:pPr>
        <w:pStyle w:val="11"/>
        <w:spacing w:after="0" w:afterLines="0" w:afterAutospacing="0" w:line="600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年度项目支出绩效自评表</w:t>
      </w:r>
    </w:p>
    <w:p w14:paraId="122525BB">
      <w:pPr>
        <w:pStyle w:val="11"/>
        <w:spacing w:after="0" w:afterLines="0" w:afterAutospacing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（业务工作经费）</w:t>
      </w:r>
    </w:p>
    <w:tbl>
      <w:tblPr>
        <w:tblStyle w:val="12"/>
        <w:tblW w:w="93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921"/>
        <w:gridCol w:w="695"/>
        <w:gridCol w:w="1272"/>
        <w:gridCol w:w="1037"/>
        <w:gridCol w:w="1218"/>
        <w:gridCol w:w="864"/>
        <w:gridCol w:w="882"/>
        <w:gridCol w:w="979"/>
      </w:tblGrid>
      <w:tr w14:paraId="78DA7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F1A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项目支</w:t>
            </w:r>
          </w:p>
          <w:p w14:paraId="163F5DF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786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AAC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业务工作经费</w:t>
            </w:r>
          </w:p>
        </w:tc>
      </w:tr>
      <w:tr w14:paraId="5D18F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58DE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主管</w:t>
            </w:r>
          </w:p>
          <w:p w14:paraId="1FBFDD4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部门</w:t>
            </w:r>
          </w:p>
        </w:tc>
        <w:tc>
          <w:tcPr>
            <w:tcW w:w="3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145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497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4B89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4221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4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DA8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项目</w:t>
            </w:r>
          </w:p>
          <w:p w14:paraId="54B8934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资金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3653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7228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年初</w:t>
            </w:r>
          </w:p>
          <w:p w14:paraId="707B326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8DC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全年</w:t>
            </w:r>
          </w:p>
          <w:p w14:paraId="1F5A073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26A6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全年</w:t>
            </w:r>
          </w:p>
          <w:p w14:paraId="5335DFF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55DF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分值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3E4E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C787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得分</w:t>
            </w:r>
          </w:p>
        </w:tc>
      </w:tr>
      <w:tr w14:paraId="5A7F2D7D">
        <w:trPr>
          <w:trHeight w:val="305" w:hRule="atLeast"/>
          <w:jc w:val="center"/>
        </w:trPr>
        <w:tc>
          <w:tcPr>
            <w:tcW w:w="14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1D5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D796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872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2401.10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C8CB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2554.80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D553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1327.67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2BBD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3B2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A0E4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</w:tr>
      <w:tr w14:paraId="2A795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DB83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3C3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4EE4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1591.10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E7B8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1744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.80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8112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790.36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76C7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42B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59E8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7C260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48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B79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196D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7EA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810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829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810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2F09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537.31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745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48E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8491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6C04E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8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8A7E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3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172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9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F7A8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实际完成情况</w:t>
            </w:r>
          </w:p>
        </w:tc>
      </w:tr>
      <w:tr w14:paraId="3EF3E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1" w:hRule="exact"/>
          <w:jc w:val="center"/>
        </w:trPr>
        <w:tc>
          <w:tcPr>
            <w:tcW w:w="1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3DF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644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培训办班：全年举办各类培训班次不少于600个，培训5万人次以上。委托培训与宣讲：完成重点委托班次150个，培训2.2万人次；举办政策业务宣讲8期，培训基层干部、企业人员6万人次；全面从严治党教育中心接待参观学习1000场（4.5万人次）。</w:t>
            </w:r>
          </w:p>
          <w:p w14:paraId="30BEDBE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国际交流合作：新增1个海外教育培训基地；积极参加国际行政科学等顶级会议并作主旨发言；对3-5个国家开展交流访问；援外班次讲学25场；与2个以上国家行政学院联合举办学术会议；接待国外考察团不少于4个；举办外国官员研修班2-3期，培训外国官员60人次以上；力争国际传播工作经验再次获中央党校推介。</w:t>
            </w:r>
          </w:p>
          <w:p w14:paraId="17A7025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教学改革与师资：落实领导干部上讲台制度，邀请领导干部、专家教授授课200人次，占基本培训课时30%以上。组织5个基本培训班开展跨省互换式教学；中青班与5个市级党校中青班“混合编班”并赴先进地区异地教学；全员开展国防与应急教育。持续开展“外交外事进党校”“信仰的力量”红色故事会；“两带来”答疑交流覆盖全体学员，论文指导不少于300篇。</w:t>
            </w:r>
          </w:p>
          <w:p w14:paraId="0F7E3CC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宣传与科研：承办“湘江大讲堂”12期，1.3万人次参加；义务送教下基层250次；微信公众号开设2个新专栏，推出系列微党课8期，总点击量突破300万。组织25名专家解读政府工作报告。公开发表论文330篇以上。</w:t>
            </w:r>
          </w:p>
          <w:p w14:paraId="57383B7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科研项目与咨政：立项国家社科基金项目7项（保持全国省级党校前列、中部领先）；立项省部级项目70项。撰写咨政报告60篇，获副省级及以上领导批示不少于45篇，其中正省级及以上批示不少于35篇。</w:t>
            </w:r>
          </w:p>
          <w:p w14:paraId="30E2D09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  <w:p w14:paraId="178A013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  <w:p w14:paraId="5B8A6BD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  <w:p w14:paraId="7D1B3DB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  <w:p w14:paraId="09CEC59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360" w:firstLineChars="18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9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F9F0D9D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10" w:lineRule="exact"/>
              <w:ind w:left="0" w:right="0" w:firstLine="400" w:firstLineChars="2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1.举办各类培训班次562个，培训45930余人次，其中校本部承办省委交办的专题研讨班6个（1203人），举办基本培训班79个（4351人）；湖南韶山干部学院举办基本培训班次19个（826人）。完成133个重点委托班次，培训1.9万余人次。</w:t>
            </w:r>
          </w:p>
          <w:p w14:paraId="38D00FC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498"/>
              </w:tabs>
              <w:spacing w:before="0" w:beforeAutospacing="0" w:after="0" w:afterAutospacing="0" w:line="210" w:lineRule="exact"/>
              <w:ind w:left="0" w:right="0" w:firstLine="400" w:firstLineChars="200"/>
              <w:jc w:val="both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2"/>
                <w:sz w:val="20"/>
                <w:szCs w:val="20"/>
                <w:lang w:val="en-US" w:eastAsia="zh-CN" w:bidi="ar-SA"/>
              </w:rPr>
              <w:t>2.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完成133个重点委托班次，培训1.9万余人次。开展校级集体备课6批次，共打造新课程89堂，3门课程获评中组部全国干部教育培训好课程。</w:t>
            </w:r>
          </w:p>
          <w:p w14:paraId="43F79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tabs>
                <w:tab w:val="left" w:pos="4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10" w:lineRule="exact"/>
              <w:ind w:left="0" w:right="0" w:firstLine="400" w:firstLineChars="2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在老挝挂牌成立首个海外教育培训基地；参加世界平衡会议和IASIA年会；对古巴等6国开展交流访问；在援外班次讲学22场。与马达加斯加国家行政学院联合举办“治国理政”学术交流视频会议。接待斯里兰卡高级政府官员研修班等4个国外考察团。举办第一期东帝汶政府中高级官员、第五期老挝地方政府中高级领导干部湖南研修班，培训外国官员50余人次。</w:t>
            </w:r>
          </w:p>
          <w:p w14:paraId="45032BBF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10" w:lineRule="exact"/>
              <w:ind w:left="0" w:right="0" w:firstLine="400" w:firstLineChars="2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4.落实领导干部上讲台制度，邀请领导干部、专家教授授课195人次，占基本培训课时29.69%。组织4个基本培训班与贵州等省级党校互换式教学；组织中青班与4个市级党校中青班“混合编班”，赴上海等地异地教学；组织学员赴省人武学校等地开展国防与应急教育。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eastAsia="zh-CN"/>
              </w:rPr>
              <w:t>义务</w:t>
            </w: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</w:rPr>
              <w:t>送教下基层200余次。拍摄6期深入贯彻中央八项规定精神学习教育系列微党课，点击量超200万。</w:t>
            </w:r>
          </w:p>
          <w:p w14:paraId="76124445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10" w:lineRule="exact"/>
              <w:ind w:left="0" w:right="0" w:firstLine="400" w:firstLineChars="200"/>
              <w:jc w:val="both"/>
              <w:textAlignment w:val="auto"/>
              <w:rPr>
                <w:rFonts w:hint="eastAsia" w:ascii="仿宋_GB2312" w:hAnsi="宋体" w:eastAsia="仿宋_GB2312" w:cs="宋体"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0"/>
                <w:szCs w:val="20"/>
                <w:lang w:val="en-US" w:eastAsia="zh-CN"/>
              </w:rPr>
              <w:t>5.公开发表论文430余篇，开展“智库选题策划会”11期，领题破题80项，孵化成果40余项。立项国家社科基金项目6项（居全国省级党校第6、中部第1位）；立项省部级项目63项，其中全国党校（行政学院）系统社科规划项目5项（居全国省级党校第2、中部第1），省社科基金项目18项。撰写咨政报告54篇（38篇获副省级及以上领导肯定性批示，其中30篇获正省级及以上领导批示）。</w:t>
            </w:r>
          </w:p>
          <w:p w14:paraId="4A7ED7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200"/>
              <w:textAlignment w:val="auto"/>
              <w:rPr>
                <w:rFonts w:hint="eastAsia" w:ascii="Calibri" w:hAnsi="Calibri" w:eastAsia="仿宋_GB2312" w:cs="Times New Roman"/>
                <w:color w:val="auto"/>
                <w:sz w:val="30"/>
                <w:szCs w:val="30"/>
              </w:rPr>
            </w:pPr>
          </w:p>
        </w:tc>
      </w:tr>
      <w:tr w14:paraId="1C3AA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14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EC70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绩</w:t>
            </w:r>
          </w:p>
          <w:p w14:paraId="768F86A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</w:t>
            </w:r>
          </w:p>
          <w:p w14:paraId="177D831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</w:t>
            </w:r>
          </w:p>
          <w:p w14:paraId="46F45D9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6B68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一级</w:t>
            </w:r>
          </w:p>
          <w:p w14:paraId="54E9DDD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827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4B5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0F2C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年度</w:t>
            </w:r>
          </w:p>
          <w:p w14:paraId="7316877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E5CA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实际</w:t>
            </w:r>
          </w:p>
          <w:p w14:paraId="413BEF2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9A8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分值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FDC9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得分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7FB1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-20"/>
                <w:kern w:val="0"/>
                <w:sz w:val="20"/>
                <w:szCs w:val="20"/>
              </w:rPr>
              <w:t>偏差原因及改进措施</w:t>
            </w:r>
          </w:p>
        </w:tc>
      </w:tr>
      <w:tr w14:paraId="1F321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D17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566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产出</w:t>
            </w:r>
          </w:p>
          <w:p w14:paraId="2283C4C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4ADF29D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(50分)</w:t>
            </w:r>
          </w:p>
        </w:tc>
        <w:tc>
          <w:tcPr>
            <w:tcW w:w="6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D464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91ED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基本培训班次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B31F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100" w:firstLineChars="5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70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77BE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94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64A1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FAE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4F35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0BEDA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109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456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D5C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D700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公开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发表论文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4058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≥400篇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2E21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0篇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BC6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DBE8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0D2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68084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F3B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8CD3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BFF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C439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开发新专题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E298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≥100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617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172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855D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3D81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7DD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F3ED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570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F13E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9D38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17A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spacing w:val="-6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-6"/>
                <w:kern w:val="0"/>
                <w:sz w:val="20"/>
                <w:szCs w:val="20"/>
                <w:lang w:val="en-US" w:eastAsia="zh-CN"/>
              </w:rPr>
              <w:t>省部级立项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99E9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1B9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项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9D5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8820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BCDC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F6D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75D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5039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681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09D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基本培训班学员考核优良率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220B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≥98%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CEF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100%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DDB8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3001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30B4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BE82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8512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9B47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69B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DBE0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CSCI来源期刊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4900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≥1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篇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4DC8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18篇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4AD1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E29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4FD2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41BFD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3ACF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D17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080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8096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spacing w:val="-6"/>
                <w:kern w:val="0"/>
                <w:sz w:val="20"/>
                <w:szCs w:val="20"/>
              </w:rPr>
              <w:t>引进人才学历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267A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博士毕业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DB9F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博士毕业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BE2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8FBE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266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8C2C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81C7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8893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0AB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E9CB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基本培训班培训时间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E6D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完成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E07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完成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17F3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869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975D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63FFF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FEC9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0BC8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487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B1A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spacing w:val="-6"/>
                <w:kern w:val="0"/>
                <w:sz w:val="20"/>
                <w:szCs w:val="20"/>
              </w:rPr>
              <w:t>论文发表时间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06A1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完成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C8F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完成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D8D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828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F27C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25B18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619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3BAB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9E01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187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专题开发完成时间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CF5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当年完成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5F2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当年完成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CE11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230B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AAA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10C3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D5E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2D59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2E12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9F5D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spacing w:val="-6"/>
                <w:kern w:val="0"/>
                <w:sz w:val="20"/>
                <w:szCs w:val="20"/>
              </w:rPr>
              <w:t>引进人才时间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D34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当年完成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971A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当年完成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4AA4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0CE3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A37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89D7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DC79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BE52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7346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0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A3C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预算执行率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273F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95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%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2C5C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5.29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932C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7F34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DAA4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1623D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9CE9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D533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效益</w:t>
            </w:r>
          </w:p>
          <w:p w14:paraId="6B18CF2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0CFD2ED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(30分)</w:t>
            </w:r>
          </w:p>
        </w:tc>
        <w:tc>
          <w:tcPr>
            <w:tcW w:w="6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3C7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社会效</w:t>
            </w:r>
          </w:p>
          <w:p w14:paraId="6556CC1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B65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  <w:t>为解决重大现实问题建言献策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D64A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鼓励教师积极出主意、建诤言、献良策，为党和政府决策提供及时有力的智力支撑。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3ABE"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4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1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  <w:lang w:val="en-US" w:eastAsia="zh-CN" w:bidi="ar-SA"/>
              </w:rPr>
              <w:t>撰写咨政报告55篇（42篇获副省级及以上领导肯定性批示，</w:t>
            </w: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2"/>
                <w:lang w:val="en" w:eastAsia="zh-CN" w:bidi="ar-SA"/>
              </w:rPr>
              <w:t>其中33篇获</w:t>
            </w: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0"/>
                <w:szCs w:val="22"/>
                <w:lang w:val="en-US" w:eastAsia="zh-CN" w:bidi="ar-SA"/>
              </w:rPr>
              <w:t>正省级及以上领导批示）。</w:t>
            </w:r>
          </w:p>
          <w:p w14:paraId="5DA45A6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F767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12D0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E4B0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F19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exac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E1F8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AE99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CF3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4E9A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基本培训班学员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  <w:t>政治素质、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党性修养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  <w:t>和履职能力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373F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2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通过培训，</w:t>
            </w:r>
            <w:r>
              <w:rPr>
                <w:rFonts w:hint="default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提高党员干部的政治素质、理论素养</w:t>
            </w: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，</w:t>
            </w:r>
            <w:r>
              <w:rPr>
                <w:rFonts w:hint="default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使其在“三高四新”美好蓝图建设中更好地发挥作用</w:t>
            </w: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0"/>
                <w:szCs w:val="22"/>
              </w:rPr>
              <w:t>。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AE79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  <w:t>学员的</w:t>
            </w:r>
            <w:r>
              <w:rPr>
                <w:rFonts w:hint="default" w:ascii="宋体" w:hAnsi="宋体" w:eastAsia="宋体" w:cs="宋体"/>
                <w:color w:val="auto"/>
                <w:spacing w:val="-6"/>
                <w:kern w:val="0"/>
                <w:sz w:val="20"/>
                <w:szCs w:val="22"/>
              </w:rPr>
              <w:t>政治素质、理论素养、党性修养和履职本领显著提高，大家干事创业的积极性不断增强。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F95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C705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4779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4B1B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exact"/>
          <w:jc w:val="center"/>
        </w:trPr>
        <w:tc>
          <w:tcPr>
            <w:tcW w:w="14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C64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绩</w:t>
            </w:r>
          </w:p>
          <w:p w14:paraId="1F6FA97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</w:t>
            </w:r>
          </w:p>
          <w:p w14:paraId="4BECE17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</w:t>
            </w:r>
          </w:p>
          <w:p w14:paraId="7278E75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16D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效益</w:t>
            </w:r>
          </w:p>
          <w:p w14:paraId="4F3A637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59F069D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(30分)</w:t>
            </w:r>
          </w:p>
        </w:tc>
        <w:tc>
          <w:tcPr>
            <w:tcW w:w="69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7450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社会效</w:t>
            </w:r>
          </w:p>
          <w:p w14:paraId="331C53D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B90C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Calibri" w:hAnsi="Calibri" w:eastAsia="宋体" w:cs="Times New Roman"/>
                <w:color w:val="auto"/>
                <w:kern w:val="0"/>
                <w:sz w:val="20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0"/>
                <w:sz w:val="20"/>
              </w:rPr>
              <w:t>党的创新理论基层宣传度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DF3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通过“送教下基层“和“送课到社区”，广泛宣传党的创新理论和思想，让党的理论在基层遍地开花。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C6677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义务送教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200余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场，让党的创新理论“飞入寻常百姓家”。</w:t>
            </w: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CD91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67B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114C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D921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78E1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40" w:lineRule="exact"/>
              <w:ind w:left="600" w:right="0" w:firstLine="40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D0A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3147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788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研究生就业率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7A3B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85%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B63A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1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</w:rPr>
              <w:t>.2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132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CE31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6F56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0E4C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exac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6685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40" w:lineRule="exact"/>
              <w:ind w:left="600" w:right="0" w:firstLine="40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left w:val="nil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4BC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4ED8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生态效</w:t>
            </w:r>
          </w:p>
          <w:p w14:paraId="39F6E78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B484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校园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环境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29F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对校园卫生、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停车坪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等进行整治，全面提升校园环境。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2FC3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完成了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后街整治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和长期堆积枯木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的清理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，净化了校园空气，美化了校园环境。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17B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DBAB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104F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0EE7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exac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1731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5BB1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BE0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0BE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办学水平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FCEA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  <w:p w14:paraId="0F84177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加强人才培训，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优化教师队伍结构，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不断提升校（院）办学水平。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5F3A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0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引进多名博士，实施“青麓计划”，全面提升了教职工的综合素质。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EB8C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1F0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311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CE1C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F471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F5C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满意度</w:t>
            </w:r>
          </w:p>
          <w:p w14:paraId="0BF5885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5D02DECF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(10分)</w:t>
            </w:r>
          </w:p>
        </w:tc>
        <w:tc>
          <w:tcPr>
            <w:tcW w:w="69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9F89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5607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研究生满意度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468A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≥9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BEEA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100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BEF9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A602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54E4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7EEF3D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4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73142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A49D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2CCA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BD5E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学员满意度</w:t>
            </w: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01166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≥95%</w:t>
            </w:r>
          </w:p>
        </w:tc>
        <w:tc>
          <w:tcPr>
            <w:tcW w:w="12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179AD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100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D10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0DF3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5740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24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13C6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66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F4CB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总分</w:t>
            </w:r>
          </w:p>
        </w:tc>
        <w:tc>
          <w:tcPr>
            <w:tcW w:w="8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63A9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100</w:t>
            </w:r>
          </w:p>
        </w:tc>
        <w:tc>
          <w:tcPr>
            <w:tcW w:w="8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08F55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360" w:lineRule="exact"/>
              <w:ind w:left="0" w:leftChars="0" w:right="0" w:firstLine="100" w:firstLineChars="50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DE4E8">
            <w:pPr>
              <w:pStyle w:val="11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Lines="0" w:afterAutospacing="0" w:line="360" w:lineRule="exact"/>
              <w:ind w:left="0" w:leftChars="0" w:right="0" w:firstLine="0" w:firstLineChars="0"/>
              <w:textAlignment w:val="auto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</w:tbl>
    <w:p w14:paraId="0B33135A">
      <w:pPr>
        <w:spacing w:before="126" w:beforeLines="20" w:line="360" w:lineRule="exact"/>
        <w:rPr>
          <w:rFonts w:hint="eastAsia" w:ascii="仿宋_GB2312" w:hAnsi="Times New Roman" w:eastAsia="仿宋_GB2312" w:cs="Times New Roman"/>
          <w:color w:val="auto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填表人：吴丹                         填报日期：202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年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月1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日</w:t>
      </w:r>
    </w:p>
    <w:p w14:paraId="5715390B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465602CE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5EE520BF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3DC924E8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7D72C9E6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55B20423">
      <w:pPr>
        <w:pStyle w:val="11"/>
        <w:spacing w:afterLines="0" w:afterAutospacing="0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 w14:paraId="7259CBB1">
      <w:pPr>
        <w:pStyle w:val="11"/>
        <w:spacing w:afterLines="0" w:afterAutospacing="0"/>
        <w:ind w:left="0" w:leftChars="0" w:firstLine="0" w:firstLineChars="0"/>
        <w:rPr>
          <w:rFonts w:hint="eastAsia" w:ascii="Times New Roman" w:hAnsi="Times New Roman" w:eastAsia="宋体" w:cs="Times New Roman"/>
          <w:color w:val="auto"/>
          <w:kern w:val="0"/>
          <w:sz w:val="20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附件4</w:t>
      </w:r>
    </w:p>
    <w:p w14:paraId="57D8FFB8">
      <w:pPr>
        <w:pStyle w:val="11"/>
        <w:spacing w:after="0" w:afterLines="0" w:afterAutospacing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年度项目支出绩效自评表</w:t>
      </w:r>
    </w:p>
    <w:p w14:paraId="3FF7AB1C">
      <w:pPr>
        <w:pStyle w:val="11"/>
        <w:spacing w:after="0" w:afterLines="0" w:afterAutospacing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red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（其他事业发展资金）</w:t>
      </w:r>
    </w:p>
    <w:tbl>
      <w:tblPr>
        <w:tblStyle w:val="12"/>
        <w:tblW w:w="911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099"/>
        <w:gridCol w:w="585"/>
        <w:gridCol w:w="1018"/>
        <w:gridCol w:w="1379"/>
        <w:gridCol w:w="1221"/>
        <w:gridCol w:w="735"/>
        <w:gridCol w:w="833"/>
        <w:gridCol w:w="1312"/>
      </w:tblGrid>
      <w:tr w14:paraId="2E557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DD45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项目支</w:t>
            </w:r>
          </w:p>
          <w:p w14:paraId="535D318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1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A9C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其他事业发展资金</w:t>
            </w:r>
          </w:p>
        </w:tc>
      </w:tr>
      <w:tr w14:paraId="53CED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C61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主管</w:t>
            </w:r>
          </w:p>
          <w:p w14:paraId="68DB20A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部门</w:t>
            </w:r>
          </w:p>
        </w:tc>
        <w:tc>
          <w:tcPr>
            <w:tcW w:w="40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2A9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8330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C63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5B6F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4070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项目</w:t>
            </w:r>
          </w:p>
          <w:p w14:paraId="64FF0EB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资金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29D8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FCE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年初</w:t>
            </w:r>
          </w:p>
          <w:p w14:paraId="55CBD1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8CE6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全年</w:t>
            </w:r>
          </w:p>
          <w:p w14:paraId="57FE760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E261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全年</w:t>
            </w:r>
          </w:p>
          <w:p w14:paraId="3C5CEE4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610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分值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EF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AF5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得分</w:t>
            </w:r>
          </w:p>
        </w:tc>
      </w:tr>
      <w:tr w14:paraId="2F897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80B0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FEF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27D0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3495.91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727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4735.08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EF7A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3327.02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7AE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3CEE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70.31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07E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 w14:paraId="2E20F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B7E9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C7F7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EDFD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2769.94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ACA1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3910.73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3A2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2805.69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908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816D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4A77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830F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932E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25BD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上年结转资金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A350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725.97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3B9E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82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.35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007E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521.33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586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A7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E0CE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4397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922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5E18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200" w:firstLineChars="10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其他资金                                                                                                           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25B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552B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8F2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967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74A2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C95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33182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9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610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0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781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75BA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实际完成情况</w:t>
            </w:r>
          </w:p>
        </w:tc>
      </w:tr>
      <w:tr w14:paraId="7C132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6" w:hRule="atLeast"/>
        </w:trPr>
        <w:tc>
          <w:tcPr>
            <w:tcW w:w="93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486C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0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E9D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</w:t>
            </w:r>
          </w:p>
          <w:p w14:paraId="46D1A68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1.完成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湘江大讲堂专通视频系统运维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项目。</w:t>
            </w:r>
          </w:p>
          <w:p w14:paraId="270AAE3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做好全面从严治党教育中心运行维护工作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。</w:t>
            </w:r>
          </w:p>
          <w:p w14:paraId="07EAB94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eastAsia" w:ascii="宋体" w:hAnsi="宋体" w:eastAsia="宋体" w:cs="Times New Roman"/>
                <w:color w:val="auto"/>
                <w:spacing w:val="6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Times New Roman"/>
                <w:color w:val="auto"/>
                <w:spacing w:val="6"/>
                <w:kern w:val="0"/>
                <w:sz w:val="20"/>
                <w:szCs w:val="20"/>
                <w:lang w:val="en-US" w:eastAsia="zh-CN"/>
              </w:rPr>
              <w:t>按计划做好硕士研究生培养工作</w:t>
            </w:r>
            <w:r>
              <w:rPr>
                <w:rFonts w:hint="eastAsia" w:ascii="宋体" w:hAnsi="宋体" w:eastAsia="宋体" w:cs="Times New Roman"/>
                <w:color w:val="auto"/>
                <w:spacing w:val="6"/>
                <w:kern w:val="0"/>
                <w:sz w:val="20"/>
                <w:szCs w:val="20"/>
              </w:rPr>
              <w:t>。</w:t>
            </w:r>
          </w:p>
          <w:p w14:paraId="6F3F0FB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.做好乡村振兴工作。</w:t>
            </w:r>
          </w:p>
          <w:p w14:paraId="6F512E6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200" w:firstLineChars="100"/>
              <w:jc w:val="left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5.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完成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各类计划委托班次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办学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。</w:t>
            </w:r>
          </w:p>
          <w:p w14:paraId="62BE163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.完成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教职员工培训工作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。</w:t>
            </w:r>
          </w:p>
          <w:p w14:paraId="33CA237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按计划出版发行刊物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。</w:t>
            </w:r>
          </w:p>
          <w:p w14:paraId="141BC73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  <w:p w14:paraId="52667E0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360" w:firstLineChars="18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　</w:t>
            </w:r>
          </w:p>
        </w:tc>
        <w:tc>
          <w:tcPr>
            <w:tcW w:w="41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B231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cs="宋体"/>
                <w:color w:val="auto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FF000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Cs w:val="20"/>
              </w:rPr>
              <w:t>1.完成湘江大讲堂专通视频系统运维，</w:t>
            </w:r>
            <w:r>
              <w:rPr>
                <w:rFonts w:hint="eastAsia" w:ascii="宋体" w:hAnsi="宋体" w:cs="宋体"/>
                <w:color w:val="auto"/>
                <w:szCs w:val="20"/>
                <w:lang w:eastAsia="zh-CN"/>
              </w:rPr>
              <w:t>承办</w:t>
            </w:r>
            <w:r>
              <w:rPr>
                <w:rFonts w:hint="eastAsia" w:ascii="宋体" w:hAnsi="宋体" w:cs="宋体"/>
                <w:color w:val="auto"/>
                <w:szCs w:val="20"/>
              </w:rPr>
              <w:t>“湘江大讲堂”1</w:t>
            </w:r>
            <w:r>
              <w:rPr>
                <w:rFonts w:hint="eastAsia" w:ascii="宋体" w:hAnsi="宋体" w:cs="宋体"/>
                <w:color w:val="auto"/>
                <w:szCs w:val="20"/>
                <w:lang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0"/>
              </w:rPr>
              <w:t>期，1.</w:t>
            </w:r>
            <w:r>
              <w:rPr>
                <w:rFonts w:hint="eastAsia" w:ascii="宋体" w:hAnsi="宋体" w:cs="宋体"/>
                <w:color w:val="auto"/>
                <w:szCs w:val="20"/>
                <w:lang w:eastAsia="zh-CN"/>
              </w:rPr>
              <w:t>2</w:t>
            </w:r>
            <w:r>
              <w:rPr>
                <w:rFonts w:hint="eastAsia" w:ascii="宋体" w:hAnsi="宋体" w:cs="宋体"/>
                <w:color w:val="auto"/>
                <w:szCs w:val="20"/>
              </w:rPr>
              <w:t>万余人次参加</w:t>
            </w:r>
            <w:r>
              <w:rPr>
                <w:rFonts w:hint="eastAsia" w:ascii="宋体" w:hAnsi="宋体" w:cs="宋体"/>
                <w:color w:val="auto"/>
                <w:szCs w:val="20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auto"/>
                <w:szCs w:val="20"/>
              </w:rPr>
              <w:t>参训人员反映良好。</w:t>
            </w:r>
          </w:p>
          <w:p w14:paraId="11DA455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cs="宋体"/>
                <w:color w:val="auto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Cs w:val="20"/>
              </w:rPr>
              <w:t xml:space="preserve">  2.全面从严治党教育中心接待参观学习1055场（46590人次）。</w:t>
            </w:r>
          </w:p>
          <w:p w14:paraId="490FDB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cs="宋体"/>
                <w:color w:val="auto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Cs w:val="20"/>
              </w:rPr>
              <w:t xml:space="preserve">  3.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招收硕士78人，毕业97人。</w:t>
            </w:r>
          </w:p>
          <w:p w14:paraId="2BFC0DA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cs="宋体"/>
                <w:color w:val="auto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Cs w:val="20"/>
              </w:rPr>
              <w:t xml:space="preserve">  4 .</w:t>
            </w:r>
            <w:r>
              <w:rPr>
                <w:rFonts w:hint="eastAsia" w:ascii="宋体" w:hAnsi="宋体" w:cs="宋体"/>
                <w:color w:val="auto"/>
                <w:szCs w:val="20"/>
                <w:lang w:val="en-US" w:eastAsia="zh-CN"/>
              </w:rPr>
              <w:t>圆满完成红花村乡村振兴扫尾工作，天湖村、金子山村乡村振兴稳步推进</w:t>
            </w:r>
            <w:r>
              <w:rPr>
                <w:rFonts w:hint="eastAsia" w:ascii="宋体" w:hAnsi="宋体" w:cs="宋体"/>
                <w:color w:val="auto"/>
                <w:szCs w:val="20"/>
              </w:rPr>
              <w:t>。</w:t>
            </w:r>
          </w:p>
          <w:p w14:paraId="1BB170B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200" w:firstLineChars="100"/>
              <w:jc w:val="left"/>
              <w:rPr>
                <w:rFonts w:hint="eastAsia" w:ascii="宋体" w:hAnsi="宋体" w:cs="宋体"/>
                <w:color w:val="auto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0"/>
              </w:rPr>
              <w:t>5.</w:t>
            </w:r>
            <w:r>
              <w:rPr>
                <w:rFonts w:hint="eastAsia" w:ascii="宋体" w:hAnsi="宋体" w:cs="宋体"/>
                <w:color w:val="auto"/>
                <w:szCs w:val="20"/>
                <w:lang w:val="en-US" w:eastAsia="zh-CN"/>
              </w:rPr>
              <w:t>选派102人次参加各类培训。</w:t>
            </w:r>
          </w:p>
          <w:p w14:paraId="25DB4F8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left"/>
              <w:rPr>
                <w:rFonts w:hint="default" w:ascii="宋体" w:hAnsi="宋体" w:cs="宋体"/>
                <w:color w:val="auto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Cs w:val="20"/>
              </w:rPr>
              <w:t xml:space="preserve">  6.举办各类培训班次562个，培训45930余人次。</w:t>
            </w:r>
          </w:p>
          <w:p w14:paraId="3AF6C3D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200" w:firstLineChars="100"/>
              <w:jc w:val="left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0"/>
                <w:lang w:val="en-US" w:eastAsia="zh-CN"/>
              </w:rPr>
              <w:t>7.出版《湖南党校》报、《决策咨询要报》《研究参考》等报刊刊物出版24期以上。</w:t>
            </w:r>
          </w:p>
        </w:tc>
      </w:tr>
      <w:tr w14:paraId="300A6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9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99DB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600" w:right="0" w:firstLine="40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0"/>
              </w:rPr>
            </w:pPr>
          </w:p>
          <w:p w14:paraId="55DF749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绩</w:t>
            </w:r>
          </w:p>
          <w:p w14:paraId="7822E47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</w:t>
            </w:r>
          </w:p>
          <w:p w14:paraId="7B858A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</w:t>
            </w:r>
          </w:p>
          <w:p w14:paraId="788624B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69B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一级</w:t>
            </w:r>
          </w:p>
          <w:p w14:paraId="7249F6C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0826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8A9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795F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年度</w:t>
            </w:r>
          </w:p>
          <w:p w14:paraId="39A3151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4EDC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实际</w:t>
            </w:r>
          </w:p>
          <w:p w14:paraId="6531A93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B15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分值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3FB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得分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4ED0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偏差原因</w:t>
            </w:r>
          </w:p>
          <w:p w14:paraId="0072DFB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分析及</w:t>
            </w:r>
          </w:p>
          <w:p w14:paraId="14063E1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改进措施</w:t>
            </w:r>
          </w:p>
        </w:tc>
      </w:tr>
      <w:tr w14:paraId="77BC4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B07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E8EE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产出</w:t>
            </w:r>
          </w:p>
          <w:p w14:paraId="3BA222F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651E954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(50分)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F9C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ABA6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湘江大讲堂专通系统运维情况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3DC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运转优良率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19E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100%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8F4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AE67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8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408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32FB888">
        <w:trPr>
          <w:trHeight w:val="90" w:hRule="atLeast"/>
        </w:trPr>
        <w:tc>
          <w:tcPr>
            <w:tcW w:w="9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3CC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DC0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688D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3853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全面从严治党教育中心接待参观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6BA1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200" w:firstLineChars="10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800场以上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AD28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930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8728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A3A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E96E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8634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021F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38EF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BF2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0FD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资助学生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6FD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100人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2D7E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12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6人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F49E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8591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D4CA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066A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CCCD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E7EB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0F6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2312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完成各类委托班次培训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E99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500个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294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563个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E0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D53F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47D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6064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9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8AB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600" w:right="0" w:firstLine="40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0"/>
              </w:rPr>
            </w:pPr>
          </w:p>
          <w:p w14:paraId="694BC19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绩</w:t>
            </w:r>
          </w:p>
          <w:p w14:paraId="547F68D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</w:t>
            </w:r>
          </w:p>
          <w:p w14:paraId="437C756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</w:t>
            </w:r>
          </w:p>
          <w:p w14:paraId="179995F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E61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产出</w:t>
            </w:r>
          </w:p>
          <w:p w14:paraId="2278398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07252C9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(50分)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9276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A4C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信息系统运行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2407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2147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452A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EBD2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3421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72A96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1259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A5D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3BE8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F01E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</w:rPr>
              <w:t>设备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2"/>
              </w:rPr>
              <w:t>运行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E77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BA0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B17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B79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8D28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D6BD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20A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0960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7E9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C275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信息化软、硬件运行效果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1DB7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92F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77B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7DF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80E2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3D0E61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512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CCAD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FEE1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94B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车辆运行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A00F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100" w:firstLineChars="5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524C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良好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84B4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2B96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5328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0656C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exac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0BC8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5767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69C9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D58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因公出国境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EC73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E6C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7332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A627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55FB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2DF6E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57FF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B9B7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E559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A156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2"/>
                <w:lang w:val="en-US" w:eastAsia="zh-CN"/>
              </w:rPr>
              <w:t>人才引进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0AEE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8EE2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F70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EC4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C9DC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2E3E39D1">
        <w:trPr>
          <w:trHeight w:val="788" w:hRule="exac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985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02D9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5CDD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DAD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纵向课题立项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68AC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0E20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当年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DBE0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EBFF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3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C072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  <w:tr w14:paraId="70DC1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exac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1D1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06F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CD4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190B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项目支出预算控制率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1F38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300" w:firstLineChars="15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  <w:t>≤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lang w:val="en-US" w:eastAsia="zh-CN"/>
              </w:rPr>
              <w:t>100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</w:rPr>
              <w:t>%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52F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70.31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0E2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8A6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2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6B75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2B44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exac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B4E4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7DC5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效益</w:t>
            </w:r>
          </w:p>
          <w:p w14:paraId="775557B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277A49B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200" w:firstLineChars="10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(30分)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CD14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经济效益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07C5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成本节约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A4C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低碳出行厉行节约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173A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效果明显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C1D2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22D9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606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377DB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exact"/>
        </w:trPr>
        <w:tc>
          <w:tcPr>
            <w:tcW w:w="93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D63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856A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88F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社会效</w:t>
            </w:r>
          </w:p>
          <w:p w14:paraId="0D63621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7FDB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改善学员住宿环境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96E2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  <w:p w14:paraId="05F2CE8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通过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后街提质改造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，为学员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和教职工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提供安静的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和学习环境。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46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显著提高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学习效率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34B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D24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29F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176F1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9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8A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B89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FD14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1D6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后街居民满意度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07F6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满意率大于95%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9F9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98%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7CA1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B99B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96C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800E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9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753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600" w:right="0" w:firstLine="40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0"/>
              </w:rPr>
            </w:pPr>
          </w:p>
          <w:p w14:paraId="50CD99A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绩</w:t>
            </w:r>
          </w:p>
          <w:p w14:paraId="6157FEF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效</w:t>
            </w:r>
          </w:p>
          <w:p w14:paraId="69B14A9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</w:t>
            </w:r>
          </w:p>
          <w:p w14:paraId="4B4DF77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646A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2483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5C37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便利职工办公和学员培训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184D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信息系统的运维可以更好地向教职工和学员提供便利的IT服务，提高办公和学习的效率。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B304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信息系统的有效运维，保障了校（院）的信息安全，便利了职工办公和学员培训。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BA8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C840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FC07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01FF2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exact"/>
        </w:trPr>
        <w:tc>
          <w:tcPr>
            <w:tcW w:w="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646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BBA8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03B0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生态效</w:t>
            </w:r>
          </w:p>
          <w:p w14:paraId="4F1D878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F899C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减少尾气排放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357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使用新能源车辆，减少尾气排放，降低对大气的污染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24A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新能源的使用，有效减少了尾气排放，降低对大气的污染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92BD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B70D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76C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52818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exact"/>
        </w:trPr>
        <w:tc>
          <w:tcPr>
            <w:tcW w:w="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F6DF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7A452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10C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0"/>
              </w:rPr>
            </w:pPr>
          </w:p>
          <w:p w14:paraId="7046523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0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0"/>
                <w:sz w:val="20"/>
              </w:rPr>
              <w:t>可持续影响指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C40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改善学员住宿和学习环境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4723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  <w:p w14:paraId="2793680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通过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后街提质改造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，为学员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和教职工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提供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舒适优美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的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和学习环境。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8BF0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显著提高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工作</w:t>
            </w: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学习效率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34E1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66CF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5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14D5F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7935B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exact"/>
        </w:trPr>
        <w:tc>
          <w:tcPr>
            <w:tcW w:w="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BE35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EBFB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满意度</w:t>
            </w:r>
          </w:p>
          <w:p w14:paraId="0C240BD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指标</w:t>
            </w:r>
          </w:p>
          <w:p w14:paraId="1BB4713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(10分)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A6CE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B8F49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教职工满意度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F191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≥90%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0AE7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26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37F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563D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4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735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6F041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exact"/>
        </w:trPr>
        <w:tc>
          <w:tcPr>
            <w:tcW w:w="9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30AA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E313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3E2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1BCD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学员满意度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FA7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≥95%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F8354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 100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%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22FD3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0E300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6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B935B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highlight w:val="yellow"/>
              </w:rPr>
            </w:pPr>
          </w:p>
        </w:tc>
      </w:tr>
      <w:tr w14:paraId="10D97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62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54156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总分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5EA85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100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A795A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100" w:firstLineChars="50"/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color w:val="auto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  <w:lang w:val="en-US" w:eastAsia="zh-CN"/>
              </w:rPr>
              <w:t>7.1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F0AE8">
            <w:pPr>
              <w:pStyle w:val="11"/>
              <w:keepNext w:val="0"/>
              <w:keepLines w:val="0"/>
              <w:suppressLineNumbers w:val="0"/>
              <w:spacing w:before="0" w:beforeAutospacing="0" w:after="0" w:afterLines="0" w:afterAutospacing="0" w:line="300" w:lineRule="exact"/>
              <w:ind w:left="0" w:leftChars="0" w:right="0" w:firstLine="0" w:firstLineChars="0"/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 w:val="20"/>
                <w:szCs w:val="20"/>
              </w:rPr>
              <w:t>　</w:t>
            </w:r>
          </w:p>
        </w:tc>
      </w:tr>
    </w:tbl>
    <w:p w14:paraId="34D6DEC9">
      <w:pPr>
        <w:spacing w:before="126" w:beforeLines="20" w:line="360" w:lineRule="exact"/>
        <w:rPr>
          <w:rFonts w:hint="eastAsia" w:ascii="仿宋_GB2312" w:hAnsi="Times New Roman" w:eastAsia="仿宋_GB2312" w:cs="Times New Roman"/>
          <w:color w:val="auto"/>
          <w:sz w:val="24"/>
          <w:szCs w:val="24"/>
        </w:rPr>
      </w:pP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填表人：吴丹                               填报日期：202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年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月1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color w:val="auto"/>
          <w:sz w:val="24"/>
          <w:szCs w:val="24"/>
        </w:rPr>
        <w:t>日</w:t>
      </w:r>
    </w:p>
    <w:p w14:paraId="274DEA6A">
      <w:pPr>
        <w:spacing w:before="126" w:beforeLines="20" w:line="20" w:lineRule="exact"/>
        <w:rPr>
          <w:rFonts w:hint="eastAsia" w:ascii="仿宋_GB2312" w:hAnsi="Times New Roman" w:eastAsia="仿宋_GB2312" w:cs="Times New Roman"/>
          <w:color w:val="auto"/>
          <w:sz w:val="24"/>
          <w:szCs w:val="24"/>
        </w:rPr>
      </w:pPr>
    </w:p>
    <w:p w14:paraId="674898ED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</w:t>
      </w:r>
    </w:p>
    <w:sectPr>
      <w:footerReference r:id="rId5" w:type="first"/>
      <w:pgSz w:w="11906" w:h="16838"/>
      <w:pgMar w:top="1191" w:right="1474" w:bottom="1534" w:left="1588" w:header="851" w:footer="1588" w:gutter="0"/>
      <w:cols w:space="720" w:num="1"/>
      <w:titlePg/>
      <w:docGrid w:type="linesAndChar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0197C">
    <w:pPr>
      <w:pStyle w:val="6"/>
      <w:framePr w:w="1121" w:wrap="around" w:vAnchor="text" w:hAnchor="page" w:x="8881" w:y="78"/>
      <w:rPr>
        <w:rStyle w:val="16"/>
        <w:rFonts w:ascii="宋体" w:hAnsi="宋体" w:eastAsia="仿宋_GB2312" w:cs="Times New Roman"/>
        <w:sz w:val="28"/>
        <w:szCs w:val="28"/>
      </w:rPr>
    </w:pPr>
    <w:r>
      <w:rPr>
        <w:rStyle w:val="16"/>
        <w:rFonts w:hint="eastAsia" w:ascii="宋体" w:hAnsi="宋体" w:eastAsia="仿宋_GB2312" w:cs="Times New Roman"/>
        <w:sz w:val="28"/>
        <w:szCs w:val="28"/>
      </w:rPr>
      <w:t xml:space="preserve">— </w:t>
    </w:r>
    <w:r>
      <w:rPr>
        <w:rStyle w:val="16"/>
        <w:rFonts w:hint="eastAsia" w:ascii="宋体" w:hAnsi="宋体" w:eastAsia="仿宋_GB2312" w:cs="Times New Roman"/>
        <w:sz w:val="28"/>
        <w:szCs w:val="28"/>
      </w:rPr>
      <w:fldChar w:fldCharType="begin"/>
    </w:r>
    <w:r>
      <w:rPr>
        <w:rStyle w:val="16"/>
        <w:rFonts w:hint="eastAsia" w:ascii="宋体" w:hAnsi="宋体" w:eastAsia="仿宋_GB2312" w:cs="Times New Roman"/>
        <w:sz w:val="28"/>
        <w:szCs w:val="28"/>
      </w:rPr>
      <w:instrText xml:space="preserve">PAGE  </w:instrText>
    </w:r>
    <w:r>
      <w:rPr>
        <w:rStyle w:val="16"/>
        <w:rFonts w:ascii="宋体" w:hAnsi="宋体" w:eastAsia="仿宋_GB2312" w:cs="Times New Roman"/>
        <w:sz w:val="28"/>
        <w:szCs w:val="28"/>
      </w:rPr>
      <w:fldChar w:fldCharType="separate"/>
    </w:r>
    <w:r>
      <w:rPr>
        <w:rStyle w:val="16"/>
        <w:rFonts w:ascii="宋体" w:hAnsi="宋体" w:eastAsia="仿宋_GB2312" w:cs="Times New Roman"/>
        <w:sz w:val="28"/>
        <w:szCs w:val="28"/>
      </w:rPr>
      <w:t>3</w:t>
    </w:r>
    <w:r>
      <w:rPr>
        <w:rStyle w:val="16"/>
        <w:rFonts w:hint="eastAsia" w:ascii="宋体" w:hAnsi="宋体" w:eastAsia="仿宋_GB2312" w:cs="Times New Roman"/>
        <w:sz w:val="28"/>
        <w:szCs w:val="28"/>
      </w:rPr>
      <w:fldChar w:fldCharType="end"/>
    </w:r>
    <w:r>
      <w:rPr>
        <w:rStyle w:val="16"/>
        <w:rFonts w:hint="eastAsia" w:ascii="宋体" w:hAnsi="宋体" w:eastAsia="仿宋_GB2312" w:cs="Times New Roman"/>
        <w:sz w:val="28"/>
        <w:szCs w:val="28"/>
      </w:rPr>
      <w:t xml:space="preserve"> —</w:t>
    </w:r>
  </w:p>
  <w:p w14:paraId="04E03482">
    <w:pPr>
      <w:pStyle w:val="6"/>
      <w:rPr>
        <w:rFonts w:ascii="Times New Roman" w:hAnsi="Times New Roman" w:eastAsia="仿宋_GB2312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1F832">
    <w:pPr>
      <w:pStyle w:val="6"/>
      <w:framePr w:w="1361" w:wrap="around" w:vAnchor="text" w:hAnchor="page" w:x="2001" w:y="18"/>
      <w:rPr>
        <w:rStyle w:val="16"/>
        <w:rFonts w:ascii="宋体" w:hAnsi="宋体" w:eastAsia="仿宋_GB2312" w:cs="Times New Roman"/>
        <w:sz w:val="28"/>
        <w:szCs w:val="28"/>
      </w:rPr>
    </w:pPr>
    <w:r>
      <w:rPr>
        <w:rStyle w:val="16"/>
        <w:rFonts w:hint="eastAsia" w:ascii="宋体" w:hAnsi="宋体" w:eastAsia="仿宋_GB2312" w:cs="Times New Roman"/>
        <w:sz w:val="28"/>
        <w:szCs w:val="28"/>
      </w:rPr>
      <w:t xml:space="preserve">— </w:t>
    </w:r>
    <w:r>
      <w:rPr>
        <w:rStyle w:val="16"/>
        <w:rFonts w:hint="eastAsia" w:ascii="宋体" w:hAnsi="宋体" w:eastAsia="仿宋_GB2312" w:cs="Times New Roman"/>
        <w:sz w:val="28"/>
        <w:szCs w:val="28"/>
      </w:rPr>
      <w:fldChar w:fldCharType="begin"/>
    </w:r>
    <w:r>
      <w:rPr>
        <w:rStyle w:val="16"/>
        <w:rFonts w:hint="eastAsia" w:ascii="宋体" w:hAnsi="宋体" w:eastAsia="仿宋_GB2312" w:cs="Times New Roman"/>
        <w:sz w:val="28"/>
        <w:szCs w:val="28"/>
      </w:rPr>
      <w:instrText xml:space="preserve">PAGE  </w:instrText>
    </w:r>
    <w:r>
      <w:rPr>
        <w:rStyle w:val="16"/>
        <w:rFonts w:ascii="宋体" w:hAnsi="宋体" w:eastAsia="仿宋_GB2312" w:cs="Times New Roman"/>
        <w:sz w:val="28"/>
        <w:szCs w:val="28"/>
      </w:rPr>
      <w:fldChar w:fldCharType="separate"/>
    </w:r>
    <w:r>
      <w:rPr>
        <w:rStyle w:val="16"/>
        <w:rFonts w:ascii="宋体" w:hAnsi="宋体" w:eastAsia="仿宋_GB2312" w:cs="Times New Roman"/>
        <w:sz w:val="28"/>
        <w:szCs w:val="28"/>
      </w:rPr>
      <w:t>2</w:t>
    </w:r>
    <w:r>
      <w:rPr>
        <w:rStyle w:val="16"/>
        <w:rFonts w:hint="eastAsia" w:ascii="宋体" w:hAnsi="宋体" w:eastAsia="仿宋_GB2312" w:cs="Times New Roman"/>
        <w:sz w:val="28"/>
        <w:szCs w:val="28"/>
      </w:rPr>
      <w:fldChar w:fldCharType="end"/>
    </w:r>
    <w:r>
      <w:rPr>
        <w:rStyle w:val="16"/>
        <w:rFonts w:hint="eastAsia" w:ascii="宋体" w:hAnsi="宋体" w:eastAsia="仿宋_GB2312" w:cs="Times New Roman"/>
        <w:sz w:val="28"/>
        <w:szCs w:val="28"/>
      </w:rPr>
      <w:t xml:space="preserve"> —</w:t>
    </w:r>
  </w:p>
  <w:p w14:paraId="77C7DBC1">
    <w:pPr>
      <w:pStyle w:val="6"/>
      <w:rPr>
        <w:rFonts w:ascii="Times New Roman" w:hAnsi="Times New Roman" w:eastAsia="仿宋_GB2312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EE75E">
    <w:pPr>
      <w:pStyle w:val="6"/>
      <w:framePr w:w="1121" w:wrap="around" w:vAnchor="text" w:hAnchor="page" w:x="1941" w:y="78"/>
      <w:rPr>
        <w:rStyle w:val="16"/>
        <w:rFonts w:ascii="宋体" w:hAnsi="宋体" w:eastAsia="仿宋_GB2312" w:cs="Times New Roman"/>
        <w:sz w:val="28"/>
        <w:szCs w:val="28"/>
      </w:rPr>
    </w:pPr>
    <w:r>
      <w:rPr>
        <w:rStyle w:val="16"/>
        <w:rFonts w:hint="eastAsia" w:ascii="宋体" w:hAnsi="宋体" w:eastAsia="仿宋_GB2312" w:cs="Times New Roman"/>
        <w:sz w:val="28"/>
        <w:szCs w:val="28"/>
      </w:rPr>
      <w:t xml:space="preserve">— </w:t>
    </w:r>
    <w:r>
      <w:rPr>
        <w:rStyle w:val="16"/>
        <w:rFonts w:hint="eastAsia" w:ascii="宋体" w:hAnsi="宋体" w:eastAsia="仿宋_GB2312" w:cs="Times New Roman"/>
        <w:sz w:val="28"/>
        <w:szCs w:val="28"/>
      </w:rPr>
      <w:fldChar w:fldCharType="begin"/>
    </w:r>
    <w:r>
      <w:rPr>
        <w:rStyle w:val="16"/>
        <w:rFonts w:hint="eastAsia" w:ascii="宋体" w:hAnsi="宋体" w:eastAsia="仿宋_GB2312" w:cs="Times New Roman"/>
        <w:sz w:val="28"/>
        <w:szCs w:val="28"/>
      </w:rPr>
      <w:instrText xml:space="preserve">PAGE  </w:instrText>
    </w:r>
    <w:r>
      <w:rPr>
        <w:rStyle w:val="16"/>
        <w:rFonts w:ascii="宋体" w:hAnsi="宋体" w:eastAsia="仿宋_GB2312" w:cs="Times New Roman"/>
        <w:sz w:val="28"/>
        <w:szCs w:val="28"/>
      </w:rPr>
      <w:fldChar w:fldCharType="separate"/>
    </w:r>
    <w:r>
      <w:rPr>
        <w:rStyle w:val="16"/>
        <w:rFonts w:ascii="宋体" w:hAnsi="宋体" w:eastAsia="仿宋_GB2312" w:cs="Times New Roman"/>
        <w:sz w:val="28"/>
        <w:szCs w:val="28"/>
      </w:rPr>
      <w:t>11</w:t>
    </w:r>
    <w:r>
      <w:rPr>
        <w:rStyle w:val="16"/>
        <w:rFonts w:hint="eastAsia" w:ascii="宋体" w:hAnsi="宋体" w:eastAsia="仿宋_GB2312" w:cs="Times New Roman"/>
        <w:sz w:val="28"/>
        <w:szCs w:val="28"/>
      </w:rPr>
      <w:fldChar w:fldCharType="end"/>
    </w:r>
    <w:r>
      <w:rPr>
        <w:rStyle w:val="16"/>
        <w:rFonts w:hint="eastAsia" w:ascii="宋体" w:hAnsi="宋体" w:eastAsia="仿宋_GB2312" w:cs="Times New Roman"/>
        <w:sz w:val="28"/>
        <w:szCs w:val="28"/>
      </w:rPr>
      <w:t xml:space="preserve"> —</w:t>
    </w:r>
  </w:p>
  <w:p w14:paraId="34138FE4">
    <w:pPr>
      <w:pStyle w:val="6"/>
      <w:rPr>
        <w:rFonts w:ascii="Times New Roman" w:hAnsi="Times New Roman" w:eastAsia="仿宋_GB2312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27DE"/>
    <w:rsid w:val="000A5586"/>
    <w:rsid w:val="000B060C"/>
    <w:rsid w:val="000C714A"/>
    <w:rsid w:val="001227C1"/>
    <w:rsid w:val="00137AFF"/>
    <w:rsid w:val="001B5AFC"/>
    <w:rsid w:val="00206855"/>
    <w:rsid w:val="002B73E0"/>
    <w:rsid w:val="003054F3"/>
    <w:rsid w:val="003127DE"/>
    <w:rsid w:val="003721AB"/>
    <w:rsid w:val="00390E66"/>
    <w:rsid w:val="003E2759"/>
    <w:rsid w:val="003F5F74"/>
    <w:rsid w:val="004A1B31"/>
    <w:rsid w:val="004B6CEF"/>
    <w:rsid w:val="004D4001"/>
    <w:rsid w:val="004F3939"/>
    <w:rsid w:val="005174B7"/>
    <w:rsid w:val="005614AF"/>
    <w:rsid w:val="00571257"/>
    <w:rsid w:val="0063168D"/>
    <w:rsid w:val="0069013F"/>
    <w:rsid w:val="00703F5F"/>
    <w:rsid w:val="00746EF1"/>
    <w:rsid w:val="007A7A27"/>
    <w:rsid w:val="007D65A2"/>
    <w:rsid w:val="0081215D"/>
    <w:rsid w:val="00867E1F"/>
    <w:rsid w:val="008A6827"/>
    <w:rsid w:val="008C7ACF"/>
    <w:rsid w:val="008E5E15"/>
    <w:rsid w:val="0091580F"/>
    <w:rsid w:val="00923A0E"/>
    <w:rsid w:val="00956BAE"/>
    <w:rsid w:val="00994634"/>
    <w:rsid w:val="009A581F"/>
    <w:rsid w:val="009F32D7"/>
    <w:rsid w:val="009F77BE"/>
    <w:rsid w:val="00A0258F"/>
    <w:rsid w:val="00A14319"/>
    <w:rsid w:val="00A31203"/>
    <w:rsid w:val="00A340BF"/>
    <w:rsid w:val="00A733BB"/>
    <w:rsid w:val="00AD7B2B"/>
    <w:rsid w:val="00AE44E8"/>
    <w:rsid w:val="00BF44A8"/>
    <w:rsid w:val="00C16D7F"/>
    <w:rsid w:val="00C40205"/>
    <w:rsid w:val="00C4397D"/>
    <w:rsid w:val="00C51291"/>
    <w:rsid w:val="00C54568"/>
    <w:rsid w:val="00D152D7"/>
    <w:rsid w:val="00D47565"/>
    <w:rsid w:val="00D47EC7"/>
    <w:rsid w:val="00D94022"/>
    <w:rsid w:val="00DB75AE"/>
    <w:rsid w:val="00DD13A7"/>
    <w:rsid w:val="00DE0064"/>
    <w:rsid w:val="00E158AB"/>
    <w:rsid w:val="00EA7E94"/>
    <w:rsid w:val="00EC794A"/>
    <w:rsid w:val="00F273C7"/>
    <w:rsid w:val="00FD3D72"/>
    <w:rsid w:val="00FF0C30"/>
    <w:rsid w:val="091D5D55"/>
    <w:rsid w:val="1A9149EE"/>
    <w:rsid w:val="2B8E7A28"/>
    <w:rsid w:val="601D3F33"/>
    <w:rsid w:val="6EC77E43"/>
    <w:rsid w:val="7E6D2D48"/>
    <w:rsid w:val="7F9C0213"/>
    <w:rsid w:val="DDF9FB07"/>
    <w:rsid w:val="DF3DC7A6"/>
    <w:rsid w:val="FFAF0F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2100"/>
    </w:pPr>
    <w:rPr>
      <w:rFonts w:ascii="Times New Roman" w:hAnsi="Times New Roman" w:eastAsia="仿宋_GB2312" w:cs="Times New Roman"/>
      <w:sz w:val="30"/>
      <w:szCs w:val="30"/>
    </w:rPr>
  </w:style>
  <w:style w:type="paragraph" w:styleId="4">
    <w:name w:val="Body Text Indent"/>
    <w:basedOn w:val="1"/>
    <w:link w:val="19"/>
    <w:unhideWhenUsed/>
    <w:qFormat/>
    <w:uiPriority w:val="99"/>
    <w:pPr>
      <w:spacing w:after="120"/>
      <w:ind w:left="420" w:leftChars="200"/>
    </w:pPr>
    <w:rPr>
      <w:rFonts w:ascii="Times New Roman" w:hAnsi="Times New Roman" w:eastAsia="仿宋_GB2312" w:cs="Times New Roman"/>
      <w:sz w:val="30"/>
      <w:szCs w:val="30"/>
    </w:rPr>
  </w:style>
  <w:style w:type="paragraph" w:styleId="5">
    <w:name w:val="Date"/>
    <w:basedOn w:val="1"/>
    <w:next w:val="1"/>
    <w:link w:val="20"/>
    <w:unhideWhenUsed/>
    <w:qFormat/>
    <w:uiPriority w:val="99"/>
    <w:pPr>
      <w:ind w:left="100" w:leftChars="2500"/>
    </w:pPr>
    <w:rPr>
      <w:rFonts w:ascii="Times New Roman" w:hAnsi="Times New Roman" w:eastAsia="仿宋_GB2312" w:cs="Times New Roman"/>
      <w:sz w:val="30"/>
      <w:szCs w:val="30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9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 2"/>
    <w:basedOn w:val="4"/>
    <w:link w:val="24"/>
    <w:unhideWhenUsed/>
    <w:qFormat/>
    <w:uiPriority w:val="99"/>
    <w:pPr>
      <w:ind w:firstLine="420" w:firstLineChars="200"/>
    </w:pPr>
    <w:rPr>
      <w:rFonts w:eastAsia="宋体"/>
      <w:kern w:val="0"/>
      <w:sz w:val="20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rFonts w:ascii="Times New Roman" w:hAnsi="Times New Roman" w:eastAsia="宋体" w:cs="Times New Roman"/>
      <w:b/>
    </w:rPr>
  </w:style>
  <w:style w:type="character" w:styleId="16">
    <w:name w:val="page number"/>
    <w:basedOn w:val="14"/>
    <w:unhideWhenUsed/>
    <w:qFormat/>
    <w:uiPriority w:val="99"/>
    <w:rPr>
      <w:rFonts w:ascii="Times New Roman" w:hAnsi="Times New Roman" w:eastAsia="宋体" w:cs="Times New Roman"/>
    </w:rPr>
  </w:style>
  <w:style w:type="character" w:styleId="17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8">
    <w:name w:val="标题 1 Char"/>
    <w:basedOn w:val="14"/>
    <w:link w:val="3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9">
    <w:name w:val="正文文本缩进 Char"/>
    <w:basedOn w:val="14"/>
    <w:link w:val="4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20">
    <w:name w:val="日期 Char"/>
    <w:basedOn w:val="14"/>
    <w:link w:val="5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21">
    <w:name w:val="页脚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2">
    <w:name w:val="页眉 Char"/>
    <w:basedOn w:val="14"/>
    <w:link w:val="7"/>
    <w:qFormat/>
    <w:uiPriority w:val="0"/>
    <w:rPr>
      <w:kern w:val="2"/>
      <w:sz w:val="18"/>
      <w:szCs w:val="18"/>
    </w:rPr>
  </w:style>
  <w:style w:type="character" w:customStyle="1" w:styleId="23">
    <w:name w:val="正文首行缩进 2 Char1"/>
    <w:basedOn w:val="19"/>
    <w:link w:val="11"/>
    <w:qFormat/>
    <w:uiPriority w:val="99"/>
    <w:rPr>
      <w:rFonts w:eastAsia="宋体"/>
      <w:kern w:val="0"/>
      <w:sz w:val="20"/>
      <w:szCs w:val="24"/>
    </w:rPr>
  </w:style>
  <w:style w:type="character" w:customStyle="1" w:styleId="24">
    <w:name w:val="正文首行缩进 2 Char"/>
    <w:basedOn w:val="19"/>
    <w:link w:val="11"/>
    <w:semiHidden/>
    <w:qFormat/>
    <w:uiPriority w:val="99"/>
  </w:style>
  <w:style w:type="character" w:customStyle="1" w:styleId="25">
    <w:name w:val="apple-converted-space"/>
    <w:basedOn w:val="14"/>
    <w:qFormat/>
    <w:uiPriority w:val="0"/>
  </w:style>
  <w:style w:type="paragraph" w:customStyle="1" w:styleId="26">
    <w:name w:val="Body Text First Indent 2"/>
    <w:basedOn w:val="4"/>
    <w:qFormat/>
    <w:uiPriority w:val="0"/>
    <w:pPr>
      <w:ind w:firstLine="420" w:firstLineChars="200"/>
    </w:pPr>
    <w:rPr>
      <w:rFonts w:hint="default" w:eastAsia="宋体"/>
      <w:kern w:val="0"/>
      <w:sz w:val="20"/>
      <w:szCs w:val="24"/>
    </w:rPr>
  </w:style>
  <w:style w:type="paragraph" w:styleId="27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22</Pages>
  <Words>3840</Words>
  <Characters>4192</Characters>
  <Lines>1</Lines>
  <Paragraphs>1</Paragraphs>
  <TotalTime>17</TotalTime>
  <ScaleCrop>false</ScaleCrop>
  <LinksUpToDate>false</LinksUpToDate>
  <CharactersWithSpaces>4192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2020-01-21T03:31:00Z</dcterms:created>
  <dc:creator>微软用户</dc:creator>
  <cp:lastModifiedBy>WPS_1643456500</cp:lastModifiedBy>
  <cp:lastPrinted>2019-09-05T15:11:00Z</cp:lastPrinted>
  <dcterms:modified xsi:type="dcterms:W3CDTF">2026-08-25T12:46:53Z</dcterms:modified>
  <dc:title>中共湖南省委党校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77E484BE58B59A0E9148056A4351513B_43</vt:lpwstr>
  </property>
  <property fmtid="{D5CDD505-2E9C-101B-9397-08002B2CF9AE}" pid="4" name="KSOTemplateDocerSaveRecord">
    <vt:lpwstr>eyJoZGlkIjoiOWRjYzliZWVjZDZjMzEyOGYzMGQ5OWE5YTE3ZmY4MzQiLCJ1c2VySWQiOiIyNDEyOTYwMjIifQ==</vt:lpwstr>
  </property>
</Properties>
</file>