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82607">
      <w:pPr>
        <w:spacing w:before="0" w:line="600" w:lineRule="exact"/>
        <w:rPr>
          <w:color w:val="000000" w:themeColor="text1"/>
          <w:highlight w:val="none"/>
          <w14:textFill>
            <w14:solidFill>
              <w14:schemeClr w14:val="tx1"/>
            </w14:solidFill>
          </w14:textFill>
        </w:rPr>
      </w:pPr>
    </w:p>
    <w:p w14:paraId="3FE388B0">
      <w:pPr>
        <w:spacing w:line="600" w:lineRule="exact"/>
        <w:rPr>
          <w:rFonts w:ascii="Arial"/>
          <w:color w:val="000000" w:themeColor="text1"/>
          <w:sz w:val="21"/>
          <w:highlight w:val="none"/>
          <w14:textFill>
            <w14:solidFill>
              <w14:schemeClr w14:val="tx1"/>
            </w14:solidFill>
          </w14:textFill>
        </w:rPr>
      </w:pPr>
    </w:p>
    <w:p w14:paraId="482A19BD">
      <w:pPr>
        <w:spacing w:line="600" w:lineRule="exact"/>
        <w:rPr>
          <w:rFonts w:ascii="Arial"/>
          <w:color w:val="000000" w:themeColor="text1"/>
          <w:sz w:val="21"/>
          <w:highlight w:val="none"/>
          <w14:textFill>
            <w14:solidFill>
              <w14:schemeClr w14:val="tx1"/>
            </w14:solidFill>
          </w14:textFill>
        </w:rPr>
      </w:pPr>
    </w:p>
    <w:p w14:paraId="73FBD0B8">
      <w:pPr>
        <w:spacing w:line="600" w:lineRule="exact"/>
        <w:jc w:val="center"/>
        <w:rPr>
          <w:rFonts w:ascii="Arial"/>
          <w:color w:val="000000" w:themeColor="text1"/>
          <w:sz w:val="21"/>
          <w:highlight w:val="none"/>
          <w14:textFill>
            <w14:solidFill>
              <w14:schemeClr w14:val="tx1"/>
            </w14:solidFill>
          </w14:textFill>
        </w:rPr>
      </w:pPr>
    </w:p>
    <w:p w14:paraId="6820AF3B">
      <w:pPr>
        <w:pStyle w:val="6"/>
        <w:spacing w:before="0" w:line="600" w:lineRule="exact"/>
        <w:jc w:val="center"/>
        <w:outlineLvl w:val="0"/>
        <w:rPr>
          <w:rFonts w:hint="eastAsia" w:eastAsia="微软雅黑"/>
          <w:b/>
          <w:bCs/>
          <w:color w:val="000000" w:themeColor="text1"/>
          <w:spacing w:val="-6"/>
          <w:sz w:val="40"/>
          <w:szCs w:val="40"/>
          <w:highlight w:val="none"/>
          <w:lang w:eastAsia="zh-CN"/>
          <w14:textFill>
            <w14:solidFill>
              <w14:schemeClr w14:val="tx1"/>
            </w14:solidFill>
          </w14:textFill>
        </w:rPr>
      </w:pPr>
      <w:r>
        <w:rPr>
          <w:rFonts w:hint="eastAsia"/>
          <w:b/>
          <w:bCs/>
          <w:color w:val="000000" w:themeColor="text1"/>
          <w:spacing w:val="-7"/>
          <w:sz w:val="40"/>
          <w:szCs w:val="40"/>
          <w:highlight w:val="none"/>
          <w:lang w:val="en-US" w:eastAsia="zh-CN"/>
          <w14:textFill>
            <w14:solidFill>
              <w14:schemeClr w14:val="tx1"/>
            </w14:solidFill>
          </w14:textFill>
        </w:rPr>
        <w:t xml:space="preserve">  </w:t>
      </w:r>
      <w:r>
        <w:rPr>
          <w:b/>
          <w:bCs/>
          <w:color w:val="000000" w:themeColor="text1"/>
          <w:spacing w:val="-7"/>
          <w:sz w:val="40"/>
          <w:szCs w:val="40"/>
          <w:highlight w:val="none"/>
          <w:lang w:val="en-US" w:eastAsia="zh-CN"/>
          <w14:textFill>
            <w14:solidFill>
              <w14:schemeClr w14:val="tx1"/>
            </w14:solidFill>
          </w14:textFill>
        </w:rPr>
        <w:t>雷锋纪念馆</w:t>
      </w:r>
      <w:r>
        <w:rPr>
          <w:rFonts w:hint="eastAsia"/>
          <w:b/>
          <w:bCs/>
          <w:color w:val="000000" w:themeColor="text1"/>
          <w:spacing w:val="-7"/>
          <w:sz w:val="40"/>
          <w:szCs w:val="40"/>
          <w:highlight w:val="none"/>
          <w:lang w:val="en-US" w:eastAsia="zh-CN"/>
          <w14:textFill>
            <w14:solidFill>
              <w14:schemeClr w14:val="tx1"/>
            </w14:solidFill>
          </w14:textFill>
        </w:rPr>
        <w:t>基础设施维护维修</w:t>
      </w:r>
    </w:p>
    <w:p w14:paraId="6427D8DA">
      <w:pPr>
        <w:pStyle w:val="6"/>
        <w:spacing w:before="0" w:line="600" w:lineRule="exact"/>
        <w:jc w:val="center"/>
        <w:outlineLvl w:val="0"/>
        <w:rPr>
          <w:rFonts w:hint="eastAsia" w:eastAsia="微软雅黑"/>
          <w:color w:val="000000" w:themeColor="text1"/>
          <w:sz w:val="40"/>
          <w:szCs w:val="40"/>
          <w:highlight w:val="none"/>
          <w:lang w:val="en-US" w:eastAsia="zh-CN"/>
          <w14:textFill>
            <w14:solidFill>
              <w14:schemeClr w14:val="tx1"/>
            </w14:solidFill>
          </w14:textFill>
        </w:rPr>
      </w:pPr>
      <w:r>
        <w:rPr>
          <w:rFonts w:hint="eastAsia"/>
          <w:b/>
          <w:bCs/>
          <w:color w:val="000000" w:themeColor="text1"/>
          <w:spacing w:val="-5"/>
          <w:sz w:val="40"/>
          <w:szCs w:val="40"/>
          <w:highlight w:val="none"/>
          <w:lang w:val="en-US" w:eastAsia="zh-CN"/>
          <w14:textFill>
            <w14:solidFill>
              <w14:schemeClr w14:val="tx1"/>
            </w14:solidFill>
          </w14:textFill>
        </w:rPr>
        <w:t xml:space="preserve">   </w:t>
      </w:r>
      <w:r>
        <w:rPr>
          <w:b/>
          <w:bCs/>
          <w:color w:val="000000" w:themeColor="text1"/>
          <w:spacing w:val="-5"/>
          <w:sz w:val="40"/>
          <w:szCs w:val="40"/>
          <w:highlight w:val="none"/>
          <w14:textFill>
            <w14:solidFill>
              <w14:schemeClr w14:val="tx1"/>
            </w14:solidFill>
          </w14:textFill>
        </w:rPr>
        <w:t>项</w:t>
      </w:r>
      <w:r>
        <w:rPr>
          <w:b/>
          <w:bCs/>
          <w:color w:val="000000" w:themeColor="text1"/>
          <w:spacing w:val="-8"/>
          <w:sz w:val="40"/>
          <w:szCs w:val="40"/>
          <w:highlight w:val="none"/>
          <w14:textFill>
            <w14:solidFill>
              <w14:schemeClr w14:val="tx1"/>
            </w14:solidFill>
          </w14:textFill>
        </w:rPr>
        <w:t>目施工</w:t>
      </w:r>
      <w:r>
        <w:rPr>
          <w:rFonts w:hint="eastAsia"/>
          <w:b/>
          <w:bCs/>
          <w:color w:val="000000" w:themeColor="text1"/>
          <w:spacing w:val="-8"/>
          <w:sz w:val="40"/>
          <w:szCs w:val="40"/>
          <w:highlight w:val="none"/>
          <w:lang w:val="en-US" w:eastAsia="zh-CN"/>
          <w14:textFill>
            <w14:solidFill>
              <w14:schemeClr w14:val="tx1"/>
            </w14:solidFill>
          </w14:textFill>
        </w:rPr>
        <w:t>协议书</w:t>
      </w:r>
    </w:p>
    <w:p w14:paraId="01D2BB10">
      <w:pPr>
        <w:spacing w:line="600" w:lineRule="exact"/>
        <w:rPr>
          <w:rFonts w:ascii="Arial"/>
          <w:color w:val="000000" w:themeColor="text1"/>
          <w:sz w:val="21"/>
          <w:highlight w:val="none"/>
          <w14:textFill>
            <w14:solidFill>
              <w14:schemeClr w14:val="tx1"/>
            </w14:solidFill>
          </w14:textFill>
        </w:rPr>
      </w:pPr>
    </w:p>
    <w:p w14:paraId="3D272AF4">
      <w:pPr>
        <w:spacing w:line="600" w:lineRule="exact"/>
        <w:rPr>
          <w:rFonts w:ascii="Arial"/>
          <w:color w:val="000000" w:themeColor="text1"/>
          <w:sz w:val="21"/>
          <w:highlight w:val="none"/>
          <w14:textFill>
            <w14:solidFill>
              <w14:schemeClr w14:val="tx1"/>
            </w14:solidFill>
          </w14:textFill>
        </w:rPr>
      </w:pPr>
    </w:p>
    <w:p w14:paraId="20BAB246">
      <w:pPr>
        <w:spacing w:line="600" w:lineRule="exact"/>
        <w:rPr>
          <w:rFonts w:ascii="Arial"/>
          <w:color w:val="000000" w:themeColor="text1"/>
          <w:sz w:val="21"/>
          <w:highlight w:val="none"/>
          <w14:textFill>
            <w14:solidFill>
              <w14:schemeClr w14:val="tx1"/>
            </w14:solidFill>
          </w14:textFill>
        </w:rPr>
      </w:pPr>
    </w:p>
    <w:p w14:paraId="472F55D6">
      <w:pPr>
        <w:spacing w:line="600" w:lineRule="exact"/>
        <w:rPr>
          <w:rFonts w:ascii="Arial"/>
          <w:color w:val="000000" w:themeColor="text1"/>
          <w:sz w:val="21"/>
          <w:highlight w:val="none"/>
          <w14:textFill>
            <w14:solidFill>
              <w14:schemeClr w14:val="tx1"/>
            </w14:solidFill>
          </w14:textFill>
        </w:rPr>
      </w:pPr>
    </w:p>
    <w:p w14:paraId="3963F8BF">
      <w:pPr>
        <w:spacing w:line="600" w:lineRule="exact"/>
        <w:rPr>
          <w:rFonts w:ascii="Arial"/>
          <w:color w:val="000000" w:themeColor="text1"/>
          <w:sz w:val="21"/>
          <w:highlight w:val="none"/>
          <w14:textFill>
            <w14:solidFill>
              <w14:schemeClr w14:val="tx1"/>
            </w14:solidFill>
          </w14:textFill>
        </w:rPr>
      </w:pPr>
    </w:p>
    <w:p w14:paraId="67405E73">
      <w:pPr>
        <w:pStyle w:val="6"/>
        <w:spacing w:before="0" w:line="600" w:lineRule="exact"/>
        <w:ind w:left="2527" w:leftChars="441" w:right="16" w:hanging="1601" w:hangingChars="500"/>
        <w:rPr>
          <w:rFonts w:ascii="Arial"/>
          <w:color w:val="000000" w:themeColor="text1"/>
          <w:sz w:val="21"/>
          <w:highlight w:val="none"/>
          <w14:textFill>
            <w14:solidFill>
              <w14:schemeClr w14:val="tx1"/>
            </w14:solidFill>
          </w14:textFill>
        </w:rPr>
      </w:pPr>
      <w:r>
        <w:rPr>
          <w:b/>
          <w:bCs/>
          <w:color w:val="000000" w:themeColor="text1"/>
          <w:spacing w:val="5"/>
          <w:highlight w:val="none"/>
          <w14:textFill>
            <w14:solidFill>
              <w14:schemeClr w14:val="tx1"/>
            </w14:solidFill>
          </w14:textFill>
        </w:rPr>
        <w:t>工程名称：</w:t>
      </w:r>
      <w:r>
        <w:rPr>
          <w:b/>
          <w:bCs/>
          <w:color w:val="000000" w:themeColor="text1"/>
          <w:spacing w:val="5"/>
          <w:highlight w:val="none"/>
          <w:u w:val="single" w:color="auto"/>
          <w:lang w:val="en-US" w:eastAsia="zh-CN"/>
          <w14:textFill>
            <w14:solidFill>
              <w14:schemeClr w14:val="tx1"/>
            </w14:solidFill>
          </w14:textFill>
        </w:rPr>
        <w:t>雷锋纪念馆</w:t>
      </w:r>
      <w:r>
        <w:rPr>
          <w:rFonts w:hint="eastAsia"/>
          <w:b/>
          <w:bCs/>
          <w:color w:val="000000" w:themeColor="text1"/>
          <w:spacing w:val="5"/>
          <w:highlight w:val="none"/>
          <w:u w:val="single" w:color="auto"/>
          <w:lang w:val="en-US" w:eastAsia="zh-CN"/>
          <w14:textFill>
            <w14:solidFill>
              <w14:schemeClr w14:val="tx1"/>
            </w14:solidFill>
          </w14:textFill>
        </w:rPr>
        <w:t>基础设施维护维修项目</w:t>
      </w:r>
    </w:p>
    <w:p w14:paraId="72F5B285">
      <w:pPr>
        <w:pStyle w:val="6"/>
        <w:spacing w:before="0" w:line="600" w:lineRule="exact"/>
        <w:ind w:right="16" w:firstLine="936" w:firstLineChars="300"/>
        <w:rPr>
          <w:b/>
          <w:bCs/>
          <w:color w:val="000000" w:themeColor="text1"/>
          <w:spacing w:val="1"/>
          <w:highlight w:val="none"/>
          <w:u w:val="single" w:color="auto"/>
          <w14:textFill>
            <w14:solidFill>
              <w14:schemeClr w14:val="tx1"/>
            </w14:solidFill>
          </w14:textFill>
        </w:rPr>
      </w:pPr>
      <w:r>
        <w:rPr>
          <w:b/>
          <w:bCs/>
          <w:color w:val="000000" w:themeColor="text1"/>
          <w:spacing w:val="1"/>
          <w:highlight w:val="none"/>
          <w14:textFill>
            <w14:solidFill>
              <w14:schemeClr w14:val="tx1"/>
            </w14:solidFill>
          </w14:textFill>
        </w:rPr>
        <w:t>工程地点：</w:t>
      </w:r>
      <w:r>
        <w:rPr>
          <w:rFonts w:hint="eastAsia"/>
          <w:b/>
          <w:bCs/>
          <w:color w:val="000000" w:themeColor="text1"/>
          <w:spacing w:val="1"/>
          <w:highlight w:val="none"/>
          <w:u w:val="single" w:color="auto"/>
          <w:lang w:eastAsia="zh-CN"/>
          <w14:textFill>
            <w14:solidFill>
              <w14:schemeClr w14:val="tx1"/>
            </w14:solidFill>
          </w14:textFill>
        </w:rPr>
        <w:t>湖南省长沙市望城区</w:t>
      </w:r>
      <w:r>
        <w:rPr>
          <w:b/>
          <w:bCs/>
          <w:color w:val="000000" w:themeColor="text1"/>
          <w:spacing w:val="1"/>
          <w:highlight w:val="none"/>
          <w:u w:val="single" w:color="auto"/>
          <w14:textFill>
            <w14:solidFill>
              <w14:schemeClr w14:val="tx1"/>
            </w14:solidFill>
          </w14:textFill>
        </w:rPr>
        <w:t>雷锋街道正兴路42号</w:t>
      </w:r>
    </w:p>
    <w:p w14:paraId="47C322F6">
      <w:pPr>
        <w:pStyle w:val="6"/>
        <w:spacing w:before="0" w:line="600" w:lineRule="exact"/>
        <w:ind w:right="16" w:firstLine="936" w:firstLineChars="300"/>
        <w:rPr>
          <w:rFonts w:hint="eastAsia"/>
          <w:b/>
          <w:bCs/>
          <w:color w:val="000000" w:themeColor="text1"/>
          <w:spacing w:val="1"/>
          <w:highlight w:val="none"/>
          <w:u w:val="single" w:color="auto"/>
          <w:lang w:val="en-US" w:eastAsia="zh-CN"/>
          <w14:textFill>
            <w14:solidFill>
              <w14:schemeClr w14:val="tx1"/>
            </w14:solidFill>
          </w14:textFill>
        </w:rPr>
      </w:pPr>
      <w:r>
        <w:rPr>
          <w:rFonts w:hint="eastAsia"/>
          <w:b/>
          <w:bCs/>
          <w:color w:val="000000" w:themeColor="text1"/>
          <w:spacing w:val="1"/>
          <w:highlight w:val="none"/>
          <w:u w:val="none" w:color="auto"/>
          <w:lang w:val="en-US" w:eastAsia="zh-CN"/>
          <w14:textFill>
            <w14:solidFill>
              <w14:schemeClr w14:val="tx1"/>
            </w14:solidFill>
          </w14:textFill>
        </w:rPr>
        <w:t>建 设 方 ：</w:t>
      </w:r>
      <w:r>
        <w:rPr>
          <w:rFonts w:hint="eastAsia"/>
          <w:b/>
          <w:bCs/>
          <w:color w:val="000000" w:themeColor="text1"/>
          <w:spacing w:val="1"/>
          <w:highlight w:val="none"/>
          <w:u w:val="single" w:color="auto"/>
          <w:lang w:val="en-US" w:eastAsia="zh-CN"/>
          <w14:textFill>
            <w14:solidFill>
              <w14:schemeClr w14:val="tx1"/>
            </w14:solidFill>
          </w14:textFill>
        </w:rPr>
        <w:t>长沙市望城区雷锋纪念馆</w:t>
      </w:r>
    </w:p>
    <w:p w14:paraId="1BDAEE0E">
      <w:pPr>
        <w:pStyle w:val="6"/>
        <w:spacing w:before="0" w:line="600" w:lineRule="exact"/>
        <w:ind w:left="2527" w:leftChars="441" w:right="16" w:hanging="1601" w:hangingChars="500"/>
        <w:rPr>
          <w:b/>
          <w:bCs/>
          <w:color w:val="000000" w:themeColor="text1"/>
          <w:spacing w:val="5"/>
          <w:highlight w:val="none"/>
          <w14:textFill>
            <w14:solidFill>
              <w14:schemeClr w14:val="tx1"/>
            </w14:solidFill>
          </w14:textFill>
        </w:rPr>
      </w:pPr>
      <w:r>
        <w:rPr>
          <w:rFonts w:hint="eastAsia"/>
          <w:b/>
          <w:bCs/>
          <w:color w:val="000000" w:themeColor="text1"/>
          <w:spacing w:val="5"/>
          <w:highlight w:val="none"/>
          <w:lang w:val="en-US" w:eastAsia="zh-CN"/>
          <w14:textFill>
            <w14:solidFill>
              <w14:schemeClr w14:val="tx1"/>
            </w14:solidFill>
          </w14:textFill>
        </w:rPr>
        <w:t>施 工 方：</w:t>
      </w:r>
      <w:bookmarkStart w:id="168" w:name="_GoBack"/>
      <w:bookmarkEnd w:id="168"/>
    </w:p>
    <w:p w14:paraId="5B4E1ED9">
      <w:pPr>
        <w:pStyle w:val="6"/>
        <w:spacing w:before="0" w:line="600" w:lineRule="exact"/>
        <w:rPr>
          <w:color w:val="000000" w:themeColor="text1"/>
          <w:highlight w:val="none"/>
          <w14:textFill>
            <w14:solidFill>
              <w14:schemeClr w14:val="tx1"/>
            </w14:solidFill>
          </w14:textFill>
        </w:rPr>
      </w:pPr>
    </w:p>
    <w:p w14:paraId="37E26161">
      <w:pPr>
        <w:spacing w:line="600" w:lineRule="exact"/>
        <w:rPr>
          <w:color w:val="000000" w:themeColor="text1"/>
          <w:highlight w:val="none"/>
          <w14:textFill>
            <w14:solidFill>
              <w14:schemeClr w14:val="tx1"/>
            </w14:solidFill>
          </w14:textFill>
        </w:rPr>
        <w:sectPr>
          <w:headerReference r:id="rId5" w:type="default"/>
          <w:pgSz w:w="11906" w:h="16839"/>
          <w:pgMar w:top="400" w:right="1785" w:bottom="0" w:left="799" w:header="0" w:footer="0" w:gutter="0"/>
          <w:pgNumType w:fmt="decimal"/>
          <w:cols w:space="720" w:num="1"/>
        </w:sectPr>
      </w:pPr>
    </w:p>
    <w:p w14:paraId="7A07BE27">
      <w:pPr>
        <w:spacing w:line="600" w:lineRule="exact"/>
        <w:rPr>
          <w:rFonts w:ascii="Arial"/>
          <w:color w:val="000000" w:themeColor="text1"/>
          <w:sz w:val="21"/>
          <w:highlight w:val="none"/>
          <w14:textFill>
            <w14:solidFill>
              <w14:schemeClr w14:val="tx1"/>
            </w14:solidFill>
          </w14:textFill>
        </w:rPr>
      </w:pPr>
    </w:p>
    <w:p w14:paraId="353D61D8">
      <w:pPr>
        <w:pStyle w:val="6"/>
        <w:spacing w:before="0" w:line="600" w:lineRule="exact"/>
        <w:ind w:left="2915"/>
        <w:outlineLvl w:val="1"/>
        <w:rPr>
          <w:rFonts w:hint="eastAsia" w:ascii="方正小标宋简体" w:hAnsi="方正小标宋简体" w:eastAsia="方正小标宋简体" w:cs="方正小标宋简体"/>
          <w:color w:val="000000" w:themeColor="text1"/>
          <w:sz w:val="44"/>
          <w:szCs w:val="44"/>
          <w:highlight w:val="none"/>
          <w14:textFill>
            <w14:solidFill>
              <w14:schemeClr w14:val="tx1"/>
            </w14:solidFill>
          </w14:textFill>
        </w:rPr>
      </w:pPr>
      <w:r>
        <w:rPr>
          <w:rFonts w:hint="eastAsia" w:ascii="方正小标宋简体" w:hAnsi="方正小标宋简体" w:eastAsia="方正小标宋简体" w:cs="方正小标宋简体"/>
          <w:b/>
          <w:bCs/>
          <w:color w:val="000000" w:themeColor="text1"/>
          <w:spacing w:val="-3"/>
          <w:sz w:val="44"/>
          <w:szCs w:val="44"/>
          <w:highlight w:val="none"/>
          <w:lang w:val="en-US" w:eastAsia="zh-CN"/>
          <w14:textFill>
            <w14:solidFill>
              <w14:schemeClr w14:val="tx1"/>
            </w14:solidFill>
          </w14:textFill>
        </w:rPr>
        <w:t>施  工</w:t>
      </w:r>
      <w:r>
        <w:rPr>
          <w:rFonts w:hint="eastAsia" w:ascii="方正小标宋简体" w:hAnsi="方正小标宋简体" w:eastAsia="方正小标宋简体" w:cs="方正小标宋简体"/>
          <w:b/>
          <w:bCs/>
          <w:color w:val="000000" w:themeColor="text1"/>
          <w:spacing w:val="90"/>
          <w:sz w:val="44"/>
          <w:szCs w:val="44"/>
          <w:highlight w:val="none"/>
          <w14:textFill>
            <w14:solidFill>
              <w14:schemeClr w14:val="tx1"/>
            </w14:solidFill>
          </w14:textFill>
        </w:rPr>
        <w:t xml:space="preserve"> </w:t>
      </w:r>
      <w:r>
        <w:rPr>
          <w:rFonts w:hint="eastAsia" w:ascii="方正小标宋简体" w:hAnsi="方正小标宋简体" w:eastAsia="方正小标宋简体" w:cs="方正小标宋简体"/>
          <w:b/>
          <w:bCs/>
          <w:color w:val="000000" w:themeColor="text1"/>
          <w:spacing w:val="-3"/>
          <w:sz w:val="44"/>
          <w:szCs w:val="44"/>
          <w:highlight w:val="none"/>
          <w14:textFill>
            <w14:solidFill>
              <w14:schemeClr w14:val="tx1"/>
            </w14:solidFill>
          </w14:textFill>
        </w:rPr>
        <w:t>协</w:t>
      </w:r>
      <w:r>
        <w:rPr>
          <w:rFonts w:hint="eastAsia" w:ascii="方正小标宋简体" w:hAnsi="方正小标宋简体" w:eastAsia="方正小标宋简体" w:cs="方正小标宋简体"/>
          <w:b/>
          <w:bCs/>
          <w:color w:val="000000" w:themeColor="text1"/>
          <w:spacing w:val="83"/>
          <w:sz w:val="44"/>
          <w:szCs w:val="44"/>
          <w:highlight w:val="none"/>
          <w14:textFill>
            <w14:solidFill>
              <w14:schemeClr w14:val="tx1"/>
            </w14:solidFill>
          </w14:textFill>
        </w:rPr>
        <w:t xml:space="preserve"> </w:t>
      </w:r>
      <w:r>
        <w:rPr>
          <w:rFonts w:hint="eastAsia" w:ascii="方正小标宋简体" w:hAnsi="方正小标宋简体" w:eastAsia="方正小标宋简体" w:cs="方正小标宋简体"/>
          <w:b/>
          <w:bCs/>
          <w:color w:val="000000" w:themeColor="text1"/>
          <w:spacing w:val="-3"/>
          <w:sz w:val="44"/>
          <w:szCs w:val="44"/>
          <w:highlight w:val="none"/>
          <w14:textFill>
            <w14:solidFill>
              <w14:schemeClr w14:val="tx1"/>
            </w14:solidFill>
          </w14:textFill>
        </w:rPr>
        <w:t>议</w:t>
      </w:r>
      <w:r>
        <w:rPr>
          <w:rFonts w:hint="eastAsia" w:ascii="方正小标宋简体" w:hAnsi="方正小标宋简体" w:eastAsia="方正小标宋简体" w:cs="方正小标宋简体"/>
          <w:b/>
          <w:bCs/>
          <w:color w:val="000000" w:themeColor="text1"/>
          <w:spacing w:val="101"/>
          <w:sz w:val="44"/>
          <w:szCs w:val="44"/>
          <w:highlight w:val="none"/>
          <w14:textFill>
            <w14:solidFill>
              <w14:schemeClr w14:val="tx1"/>
            </w14:solidFill>
          </w14:textFill>
        </w:rPr>
        <w:t xml:space="preserve"> </w:t>
      </w:r>
      <w:r>
        <w:rPr>
          <w:rFonts w:hint="eastAsia" w:ascii="方正小标宋简体" w:hAnsi="方正小标宋简体" w:eastAsia="方正小标宋简体" w:cs="方正小标宋简体"/>
          <w:b/>
          <w:bCs/>
          <w:color w:val="000000" w:themeColor="text1"/>
          <w:spacing w:val="-3"/>
          <w:sz w:val="44"/>
          <w:szCs w:val="44"/>
          <w:highlight w:val="none"/>
          <w14:textFill>
            <w14:solidFill>
              <w14:schemeClr w14:val="tx1"/>
            </w14:solidFill>
          </w14:textFill>
        </w:rPr>
        <w:t>书</w:t>
      </w:r>
    </w:p>
    <w:p w14:paraId="1A47CAAA">
      <w:pPr>
        <w:spacing w:line="600" w:lineRule="exact"/>
        <w:rPr>
          <w:rFonts w:ascii="Arial"/>
          <w:color w:val="000000" w:themeColor="text1"/>
          <w:sz w:val="21"/>
          <w:highlight w:val="none"/>
          <w14:textFill>
            <w14:solidFill>
              <w14:schemeClr w14:val="tx1"/>
            </w14:solidFill>
          </w14:textFill>
        </w:rPr>
      </w:pPr>
    </w:p>
    <w:p w14:paraId="3B927E4C">
      <w:pPr>
        <w:pStyle w:val="6"/>
        <w:spacing w:before="0" w:line="600" w:lineRule="exact"/>
        <w:ind w:left="31" w:firstLine="544" w:firstLineChars="200"/>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pacing w:val="-4"/>
          <w:sz w:val="28"/>
          <w:szCs w:val="28"/>
          <w:highlight w:val="none"/>
          <w:lang w:eastAsia="zh-CN"/>
          <w14:textFill>
            <w14:solidFill>
              <w14:schemeClr w14:val="tx1"/>
            </w14:solidFill>
          </w14:textFill>
        </w:rPr>
        <w:t>甲方</w:t>
      </w:r>
      <w:r>
        <w:rPr>
          <w:rFonts w:hint="eastAsia" w:ascii="仿宋_GB2312" w:hAnsi="仿宋_GB2312" w:eastAsia="仿宋_GB2312" w:cs="仿宋_GB2312"/>
          <w:color w:val="000000" w:themeColor="text1"/>
          <w:spacing w:val="-4"/>
          <w:sz w:val="28"/>
          <w:szCs w:val="28"/>
          <w:highlight w:val="none"/>
          <w:u w:val="none" w:color="auto"/>
          <w14:textFill>
            <w14:solidFill>
              <w14:schemeClr w14:val="tx1"/>
            </w14:solidFill>
          </w14:textFill>
        </w:rPr>
        <w:t>：</w:t>
      </w:r>
      <w:r>
        <w:rPr>
          <w:rFonts w:hint="eastAsia" w:ascii="仿宋_GB2312" w:hAnsi="仿宋_GB2312" w:eastAsia="仿宋_GB2312" w:cs="仿宋_GB2312"/>
          <w:color w:val="000000" w:themeColor="text1"/>
          <w:spacing w:val="-4"/>
          <w:sz w:val="28"/>
          <w:szCs w:val="28"/>
          <w:highlight w:val="none"/>
          <w:u w:val="none" w:color="auto"/>
          <w:lang w:val="en-US" w:eastAsia="zh-CN"/>
          <w14:textFill>
            <w14:solidFill>
              <w14:schemeClr w14:val="tx1"/>
            </w14:solidFill>
          </w14:textFill>
        </w:rPr>
        <w:t>长沙市望城区雷锋纪念馆</w:t>
      </w:r>
    </w:p>
    <w:p w14:paraId="69EB790E">
      <w:pPr>
        <w:pStyle w:val="6"/>
        <w:spacing w:before="0" w:line="600" w:lineRule="exact"/>
        <w:ind w:left="23" w:firstLine="548" w:firstLineChars="200"/>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pacing w:val="-3"/>
          <w:sz w:val="28"/>
          <w:szCs w:val="28"/>
          <w:highlight w:val="none"/>
          <w:u w:val="none" w:color="auto"/>
          <w:lang w:eastAsia="zh-CN"/>
          <w14:textFill>
            <w14:solidFill>
              <w14:schemeClr w14:val="tx1"/>
            </w14:solidFill>
          </w14:textFill>
        </w:rPr>
        <w:t>乙方</w:t>
      </w:r>
      <w:r>
        <w:rPr>
          <w:rFonts w:hint="eastAsia" w:ascii="仿宋_GB2312" w:hAnsi="仿宋_GB2312" w:eastAsia="仿宋_GB2312" w:cs="仿宋_GB2312"/>
          <w:color w:val="000000" w:themeColor="text1"/>
          <w:spacing w:val="-3"/>
          <w:sz w:val="28"/>
          <w:szCs w:val="28"/>
          <w:highlight w:val="none"/>
          <w:u w:val="none" w:color="auto"/>
          <w14:textFill>
            <w14:solidFill>
              <w14:schemeClr w14:val="tx1"/>
            </w14:solidFill>
          </w14:textFill>
        </w:rPr>
        <w:t xml:space="preserve">：  </w:t>
      </w:r>
    </w:p>
    <w:p w14:paraId="6C2B447C">
      <w:pPr>
        <w:pStyle w:val="6"/>
        <w:spacing w:before="0" w:line="600" w:lineRule="exact"/>
        <w:ind w:left="0" w:right="13" w:firstLine="560" w:firstLineChars="200"/>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根据《中华人民共和国招标投标法》《中华人民共和国民法典》《中华人民共和国建筑法》及有关法律规定，遵循平等、自愿、公平和诚实信用的原则，双方就</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雷锋纪念馆基础设施维护维修项目</w:t>
      </w:r>
      <w:r>
        <w:rPr>
          <w:rFonts w:hint="eastAsia" w:ascii="仿宋_GB2312" w:hAnsi="仿宋_GB2312" w:eastAsia="仿宋_GB2312" w:cs="仿宋_GB2312"/>
          <w:color w:val="000000" w:themeColor="text1"/>
          <w:sz w:val="28"/>
          <w:szCs w:val="28"/>
          <w:highlight w:val="none"/>
          <w14:textFill>
            <w14:solidFill>
              <w14:schemeClr w14:val="tx1"/>
            </w14:solidFill>
          </w14:textFill>
        </w:rPr>
        <w:t>施工有关事项协商一致，共同达成如下协议：</w:t>
      </w:r>
    </w:p>
    <w:p w14:paraId="3708F74D">
      <w:pPr>
        <w:spacing w:before="0" w:after="0" w:line="600" w:lineRule="exact"/>
        <w:ind w:firstLine="560" w:firstLineChars="200"/>
        <w:outlineLvl w:val="1"/>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一、工程概况</w:t>
      </w:r>
    </w:p>
    <w:p w14:paraId="233DAB72">
      <w:pPr>
        <w:pStyle w:val="6"/>
        <w:spacing w:before="0" w:line="600" w:lineRule="exact"/>
        <w:ind w:left="20" w:firstLine="548" w:firstLineChars="200"/>
        <w:rPr>
          <w:rFonts w:hint="eastAsia" w:ascii="仿宋_GB2312" w:hAnsi="仿宋_GB2312" w:eastAsia="仿宋_GB2312" w:cs="仿宋_GB2312"/>
          <w:color w:val="000000" w:themeColor="text1"/>
          <w:sz w:val="28"/>
          <w:szCs w:val="28"/>
          <w:highlight w:val="none"/>
          <w:u w:val="none"/>
          <w14:textFill>
            <w14:solidFill>
              <w14:schemeClr w14:val="tx1"/>
            </w14:solidFill>
          </w14:textFill>
        </w:rPr>
      </w:pPr>
      <w:r>
        <w:rPr>
          <w:rFonts w:hint="eastAsia" w:ascii="仿宋_GB2312" w:hAnsi="仿宋_GB2312" w:eastAsia="仿宋_GB2312" w:cs="仿宋_GB2312"/>
          <w:color w:val="000000" w:themeColor="text1"/>
          <w:spacing w:val="-3"/>
          <w:sz w:val="28"/>
          <w:szCs w:val="28"/>
          <w:highlight w:val="none"/>
          <w:u w:val="none"/>
          <w14:textFill>
            <w14:solidFill>
              <w14:schemeClr w14:val="tx1"/>
            </w14:solidFill>
          </w14:textFill>
        </w:rPr>
        <w:t>工程名称</w:t>
      </w:r>
      <w:r>
        <w:rPr>
          <w:rFonts w:hint="eastAsia" w:ascii="仿宋_GB2312" w:hAnsi="仿宋_GB2312" w:eastAsia="仿宋_GB2312" w:cs="仿宋_GB2312"/>
          <w:color w:val="000000" w:themeColor="text1"/>
          <w:spacing w:val="-3"/>
          <w:sz w:val="28"/>
          <w:szCs w:val="28"/>
          <w:highlight w:val="none"/>
          <w:u w:val="none"/>
          <w:lang w:eastAsia="zh-CN"/>
          <w14:textFill>
            <w14:solidFill>
              <w14:schemeClr w14:val="tx1"/>
            </w14:solidFill>
          </w14:textFill>
        </w:rPr>
        <w:t>：</w:t>
      </w:r>
      <w:r>
        <w:rPr>
          <w:rFonts w:hint="eastAsia" w:ascii="仿宋_GB2312" w:hAnsi="仿宋_GB2312" w:eastAsia="仿宋_GB2312" w:cs="仿宋_GB2312"/>
          <w:color w:val="000000" w:themeColor="text1"/>
          <w:spacing w:val="-3"/>
          <w:sz w:val="28"/>
          <w:szCs w:val="28"/>
          <w:highlight w:val="none"/>
          <w:u w:val="none"/>
          <w:lang w:val="en-US" w:eastAsia="zh-CN"/>
          <w14:textFill>
            <w14:solidFill>
              <w14:schemeClr w14:val="tx1"/>
            </w14:solidFill>
          </w14:textFill>
        </w:rPr>
        <w:t>雷锋纪念馆基础设施维护维修项目</w:t>
      </w:r>
    </w:p>
    <w:p w14:paraId="2F6E042B">
      <w:pPr>
        <w:pStyle w:val="6"/>
        <w:spacing w:before="0" w:line="600" w:lineRule="exact"/>
        <w:ind w:left="17" w:right="13" w:firstLine="567"/>
        <w:rPr>
          <w:rFonts w:hint="eastAsia" w:ascii="仿宋_GB2312" w:hAnsi="仿宋_GB2312" w:eastAsia="仿宋_GB2312" w:cs="仿宋_GB2312"/>
          <w:color w:val="000000" w:themeColor="text1"/>
          <w:sz w:val="28"/>
          <w:szCs w:val="28"/>
          <w:highlight w:val="none"/>
          <w:u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6"/>
          <w:sz w:val="28"/>
          <w:szCs w:val="28"/>
          <w:highlight w:val="none"/>
          <w:u w:val="none"/>
          <w14:textFill>
            <w14:solidFill>
              <w14:schemeClr w14:val="tx1"/>
            </w14:solidFill>
          </w14:textFill>
        </w:rPr>
        <w:t>工程地点：</w:t>
      </w:r>
      <w:r>
        <w:rPr>
          <w:rFonts w:hint="eastAsia" w:ascii="仿宋_GB2312" w:hAnsi="仿宋_GB2312" w:eastAsia="仿宋_GB2312" w:cs="仿宋_GB2312"/>
          <w:color w:val="000000" w:themeColor="text1"/>
          <w:spacing w:val="-6"/>
          <w:sz w:val="28"/>
          <w:szCs w:val="28"/>
          <w:highlight w:val="none"/>
          <w:u w:val="none"/>
          <w:lang w:eastAsia="zh-CN"/>
          <w14:textFill>
            <w14:solidFill>
              <w14:schemeClr w14:val="tx1"/>
            </w14:solidFill>
          </w14:textFill>
        </w:rPr>
        <w:t>湖南省长沙市望城区</w:t>
      </w:r>
      <w:r>
        <w:rPr>
          <w:rFonts w:hint="eastAsia" w:ascii="仿宋_GB2312" w:hAnsi="仿宋_GB2312" w:eastAsia="仿宋_GB2312" w:cs="仿宋_GB2312"/>
          <w:color w:val="000000" w:themeColor="text1"/>
          <w:spacing w:val="-6"/>
          <w:sz w:val="28"/>
          <w:szCs w:val="28"/>
          <w:highlight w:val="none"/>
          <w:u w:val="none"/>
          <w14:textFill>
            <w14:solidFill>
              <w14:schemeClr w14:val="tx1"/>
            </w14:solidFill>
          </w14:textFill>
        </w:rPr>
        <w:t>雷锋街道正兴路42号</w:t>
      </w:r>
    </w:p>
    <w:p w14:paraId="4112F664">
      <w:pPr>
        <w:pStyle w:val="6"/>
        <w:spacing w:line="600" w:lineRule="exact"/>
        <w:ind w:left="2448" w:leftChars="279" w:hanging="1862" w:hangingChars="700"/>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pacing w:val="-7"/>
          <w:sz w:val="28"/>
          <w:szCs w:val="28"/>
          <w:highlight w:val="none"/>
          <w:u w:val="none"/>
          <w:lang w:val="en-US" w:eastAsia="zh-CN"/>
          <w14:textFill>
            <w14:solidFill>
              <w14:schemeClr w14:val="tx1"/>
            </w14:solidFill>
          </w14:textFill>
        </w:rPr>
        <w:t>工程承包范围：办公电梯渗水处理、陈列馆入口屋顶玻璃清洗、国防馆洗手间玻璃顶漏水维修、职工之家补漆、职工停车场入口旁石材修补等。</w:t>
      </w:r>
    </w:p>
    <w:p w14:paraId="53BC031B">
      <w:pPr>
        <w:spacing w:before="0" w:after="0" w:line="600" w:lineRule="exact"/>
        <w:ind w:firstLine="560" w:firstLineChars="200"/>
        <w:outlineLvl w:val="1"/>
        <w:rPr>
          <w:rFonts w:hint="eastAsia" w:ascii="黑体" w:hAnsi="黑体" w:eastAsia="黑体" w:cs="黑体"/>
          <w:b w:val="0"/>
          <w:color w:val="000000" w:themeColor="text1"/>
          <w:sz w:val="28"/>
          <w:szCs w:val="28"/>
          <w:highlight w:val="none"/>
          <w:lang w:eastAsia="zh-CN"/>
          <w14:textFill>
            <w14:solidFill>
              <w14:schemeClr w14:val="tx1"/>
            </w14:solidFill>
          </w14:textFill>
        </w:rPr>
      </w:pPr>
      <w:r>
        <w:rPr>
          <w:rFonts w:hint="eastAsia" w:ascii="黑体" w:hAnsi="黑体" w:eastAsia="黑体" w:cs="黑体"/>
          <w:color w:val="000000" w:themeColor="text1"/>
          <w:sz w:val="28"/>
          <w:szCs w:val="28"/>
          <w:highlight w:val="none"/>
          <w:lang w:val="en-US" w:eastAsia="zh-CN"/>
          <w14:textFill>
            <w14:solidFill>
              <w14:schemeClr w14:val="tx1"/>
            </w14:solidFill>
          </w14:textFill>
        </w:rPr>
        <w:t>二、</w:t>
      </w:r>
      <w:bookmarkStart w:id="0" w:name="_Toc351203482"/>
      <w:bookmarkStart w:id="1" w:name="_Toc28189"/>
      <w:bookmarkStart w:id="2" w:name="_Toc18513"/>
      <w:bookmarkStart w:id="3" w:name="_Toc16481"/>
      <w:bookmarkStart w:id="4" w:name="_Toc25723"/>
      <w:bookmarkStart w:id="5" w:name="_Toc12521"/>
      <w:r>
        <w:rPr>
          <w:rFonts w:hint="eastAsia" w:ascii="黑体" w:hAnsi="黑体" w:eastAsia="黑体" w:cs="黑体"/>
          <w:b w:val="0"/>
          <w:color w:val="000000" w:themeColor="text1"/>
          <w:sz w:val="28"/>
          <w:szCs w:val="28"/>
          <w:highlight w:val="none"/>
          <w:lang w:eastAsia="zh-CN"/>
          <w14:textFill>
            <w14:solidFill>
              <w14:schemeClr w14:val="tx1"/>
            </w14:solidFill>
          </w14:textFill>
        </w:rPr>
        <w:t>合同工期</w:t>
      </w:r>
      <w:bookmarkEnd w:id="0"/>
      <w:bookmarkEnd w:id="1"/>
      <w:bookmarkEnd w:id="2"/>
      <w:bookmarkEnd w:id="3"/>
      <w:bookmarkEnd w:id="4"/>
      <w:bookmarkEnd w:id="5"/>
    </w:p>
    <w:p w14:paraId="5AC17D84">
      <w:pPr>
        <w:spacing w:line="600" w:lineRule="exact"/>
        <w:ind w:firstLine="560" w:firstLineChars="200"/>
        <w:rPr>
          <w:rFonts w:ascii="仿宋_GB2312" w:hAnsi="仿宋_GB2312" w:eastAsia="仿宋_GB2312" w:cs="仿宋_GB2312"/>
          <w:color w:val="000000" w:themeColor="text1"/>
          <w:sz w:val="28"/>
          <w:szCs w:val="28"/>
          <w:highlight w:val="none"/>
          <w:u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计划开工日期：</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2026</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年</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月</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日</w:t>
      </w:r>
    </w:p>
    <w:p w14:paraId="2EDA8A78">
      <w:pPr>
        <w:spacing w:line="600" w:lineRule="exact"/>
        <w:ind w:firstLine="560" w:firstLineChars="200"/>
        <w:rPr>
          <w:rFonts w:ascii="仿宋_GB2312" w:hAnsi="仿宋_GB2312" w:eastAsia="仿宋_GB2312" w:cs="仿宋_GB2312"/>
          <w:color w:val="000000" w:themeColor="text1"/>
          <w:sz w:val="28"/>
          <w:szCs w:val="28"/>
          <w:highlight w:val="none"/>
          <w:u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计划竣工日期：</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2026</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年</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月</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日</w:t>
      </w:r>
    </w:p>
    <w:p w14:paraId="1792CEDF">
      <w:pPr>
        <w:spacing w:line="600" w:lineRule="exact"/>
        <w:ind w:firstLine="560" w:firstLineChars="200"/>
        <w:rPr>
          <w:rFonts w:hint="eastAsia" w:ascii="仿宋_GB2312" w:hAnsi="仿宋_GB2312" w:eastAsia="仿宋_GB2312" w:cs="仿宋_GB2312"/>
          <w:color w:val="000000" w:themeColor="text1"/>
          <w:sz w:val="28"/>
          <w:szCs w:val="28"/>
          <w:highlight w:val="none"/>
          <w:u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工期总日历天数：</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45</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天。</w:t>
      </w:r>
      <w:r>
        <w:rPr>
          <w:rFonts w:hint="eastAsia" w:ascii="仿宋_GB2312" w:hAnsi="仿宋_GB2312" w:eastAsia="仿宋_GB2312" w:cs="仿宋_GB2312"/>
          <w:color w:val="000000" w:themeColor="text1"/>
          <w:sz w:val="28"/>
          <w:szCs w:val="28"/>
          <w:highlight w:val="none"/>
          <w:u w:val="none"/>
          <w:lang w:val="zh-CN" w:eastAsia="zh-CN"/>
          <w14:textFill>
            <w14:solidFill>
              <w14:schemeClr w14:val="tx1"/>
            </w14:solidFill>
          </w14:textFill>
        </w:rPr>
        <w:t>工期总日历天数与根据前述计划开竣工日期计算的工期天数不一致的，以工期总日历天数为准</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w:t>
      </w:r>
    </w:p>
    <w:p w14:paraId="2F7A4B60">
      <w:pPr>
        <w:spacing w:line="600" w:lineRule="exact"/>
        <w:ind w:firstLine="560" w:firstLineChars="200"/>
        <w:outlineLvl w:val="1"/>
        <w:rPr>
          <w:rFonts w:hint="eastAsia" w:ascii="黑体" w:hAnsi="黑体" w:eastAsia="黑体" w:cs="黑体"/>
          <w:b w:val="0"/>
          <w:color w:val="000000" w:themeColor="text1"/>
          <w:sz w:val="28"/>
          <w:szCs w:val="28"/>
          <w:highlight w:val="none"/>
          <w:lang w:eastAsia="zh-CN"/>
          <w14:textFill>
            <w14:solidFill>
              <w14:schemeClr w14:val="tx1"/>
            </w14:solidFill>
          </w14:textFill>
        </w:rPr>
      </w:pPr>
      <w:r>
        <w:rPr>
          <w:rFonts w:hint="eastAsia" w:ascii="黑体" w:hAnsi="黑体" w:eastAsia="黑体" w:cs="黑体"/>
          <w:color w:val="000000" w:themeColor="text1"/>
          <w:sz w:val="28"/>
          <w:szCs w:val="28"/>
          <w:highlight w:val="none"/>
          <w:lang w:eastAsia="zh-CN"/>
          <w14:textFill>
            <w14:solidFill>
              <w14:schemeClr w14:val="tx1"/>
            </w14:solidFill>
          </w14:textFill>
        </w:rPr>
        <w:t>三、</w:t>
      </w:r>
      <w:bookmarkStart w:id="6" w:name="_Toc19238"/>
      <w:bookmarkStart w:id="7" w:name="_Toc351203483"/>
      <w:bookmarkStart w:id="8" w:name="_Toc638"/>
      <w:bookmarkStart w:id="9" w:name="_Toc6103"/>
      <w:bookmarkStart w:id="10" w:name="_Toc15505"/>
      <w:bookmarkStart w:id="11" w:name="_Toc7598"/>
      <w:r>
        <w:rPr>
          <w:rFonts w:hint="eastAsia" w:ascii="黑体" w:hAnsi="黑体" w:eastAsia="黑体" w:cs="黑体"/>
          <w:b w:val="0"/>
          <w:color w:val="000000" w:themeColor="text1"/>
          <w:sz w:val="28"/>
          <w:szCs w:val="28"/>
          <w:highlight w:val="none"/>
          <w:lang w:eastAsia="zh-CN"/>
          <w14:textFill>
            <w14:solidFill>
              <w14:schemeClr w14:val="tx1"/>
            </w14:solidFill>
          </w14:textFill>
        </w:rPr>
        <w:t>质量标准</w:t>
      </w:r>
      <w:bookmarkEnd w:id="6"/>
      <w:bookmarkEnd w:id="7"/>
      <w:bookmarkEnd w:id="8"/>
      <w:bookmarkEnd w:id="9"/>
      <w:bookmarkEnd w:id="10"/>
      <w:bookmarkEnd w:id="11"/>
    </w:p>
    <w:p w14:paraId="03DC502F">
      <w:pPr>
        <w:spacing w:line="600" w:lineRule="exact"/>
        <w:ind w:firstLine="560" w:firstLineChars="200"/>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工程质量</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符合</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（合格）</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标准</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p>
    <w:p w14:paraId="4E8C4BB9">
      <w:pPr>
        <w:spacing w:line="600" w:lineRule="exact"/>
        <w:ind w:firstLine="560" w:firstLineChars="200"/>
        <w:outlineLvl w:val="1"/>
        <w:rPr>
          <w:rFonts w:hint="eastAsia" w:ascii="黑体" w:hAnsi="黑体" w:eastAsia="黑体" w:cs="黑体"/>
          <w:b w:val="0"/>
          <w:bCs/>
          <w:color w:val="000000" w:themeColor="text1"/>
          <w:sz w:val="28"/>
          <w:szCs w:val="28"/>
          <w:highlight w:val="none"/>
          <w14:textFill>
            <w14:solidFill>
              <w14:schemeClr w14:val="tx1"/>
            </w14:solidFill>
          </w14:textFill>
        </w:rPr>
      </w:pPr>
      <w:bookmarkStart w:id="12" w:name="_Toc4759"/>
      <w:bookmarkStart w:id="13" w:name="_Toc4906"/>
      <w:bookmarkStart w:id="14" w:name="_Toc28417"/>
      <w:bookmarkStart w:id="15" w:name="_Toc351203484"/>
      <w:bookmarkStart w:id="16" w:name="_Toc16430"/>
      <w:bookmarkStart w:id="17" w:name="_Toc14286"/>
      <w:r>
        <w:rPr>
          <w:rFonts w:hint="eastAsia" w:ascii="黑体" w:hAnsi="黑体" w:eastAsia="黑体" w:cs="黑体"/>
          <w:b w:val="0"/>
          <w:bCs/>
          <w:color w:val="000000" w:themeColor="text1"/>
          <w:sz w:val="28"/>
          <w:szCs w:val="28"/>
          <w:highlight w:val="none"/>
          <w:lang w:eastAsia="zh-CN"/>
          <w14:textFill>
            <w14:solidFill>
              <w14:schemeClr w14:val="tx1"/>
            </w14:solidFill>
          </w14:textFill>
        </w:rPr>
        <w:t>四、</w:t>
      </w:r>
      <w:r>
        <w:rPr>
          <w:rFonts w:hint="eastAsia" w:ascii="黑体" w:hAnsi="黑体" w:eastAsia="黑体" w:cs="黑体"/>
          <w:b w:val="0"/>
          <w:bCs/>
          <w:color w:val="000000" w:themeColor="text1"/>
          <w:sz w:val="28"/>
          <w:szCs w:val="28"/>
          <w:highlight w:val="none"/>
          <w14:textFill>
            <w14:solidFill>
              <w14:schemeClr w14:val="tx1"/>
            </w14:solidFill>
          </w14:textFill>
        </w:rPr>
        <w:t>签约合同价与合同价格形式</w:t>
      </w:r>
      <w:bookmarkEnd w:id="12"/>
      <w:bookmarkEnd w:id="13"/>
      <w:bookmarkEnd w:id="14"/>
      <w:bookmarkEnd w:id="15"/>
      <w:bookmarkEnd w:id="16"/>
      <w:bookmarkEnd w:id="17"/>
    </w:p>
    <w:p w14:paraId="4E9F9115">
      <w:pPr>
        <w:spacing w:line="600" w:lineRule="exact"/>
        <w:ind w:left="839" w:leftChars="266" w:hanging="280" w:hangingChars="100"/>
        <w:rPr>
          <w:rFonts w:ascii="仿宋_GB2312" w:hAnsi="仿宋_GB2312" w:eastAsia="仿宋_GB2312" w:cs="仿宋_GB2312"/>
          <w:color w:val="000000" w:themeColor="text1"/>
          <w:sz w:val="28"/>
          <w:szCs w:val="28"/>
          <w:highlight w:val="none"/>
          <w14:textFill>
            <w14:solidFill>
              <w14:schemeClr w14:val="tx1"/>
            </w14:solidFill>
          </w14:textFill>
        </w:rPr>
      </w:pPr>
      <w:bookmarkStart w:id="18" w:name="_Toc13165"/>
      <w:bookmarkStart w:id="19" w:name="_Toc23248"/>
      <w:bookmarkStart w:id="20" w:name="_Toc7547"/>
      <w:bookmarkStart w:id="21" w:name="_Toc3054"/>
      <w:r>
        <w:rPr>
          <w:rFonts w:hint="eastAsia" w:ascii="仿宋_GB2312" w:hAnsi="仿宋_GB2312" w:eastAsia="仿宋_GB2312" w:cs="仿宋_GB2312"/>
          <w:color w:val="000000" w:themeColor="text1"/>
          <w:sz w:val="28"/>
          <w:szCs w:val="28"/>
          <w:highlight w:val="none"/>
          <w14:textFill>
            <w14:solidFill>
              <w14:schemeClr w14:val="tx1"/>
            </w14:solidFill>
          </w14:textFill>
        </w:rPr>
        <w:t>1.签约合同价（含税）为：人民币（大写）</w:t>
      </w:r>
      <w:r>
        <w:rPr>
          <w:rFonts w:hint="eastAsia" w:ascii="仿宋_GB2312" w:hAnsi="仿宋_GB2312" w:eastAsia="仿宋_GB2312" w:cs="仿宋_GB2312"/>
          <w:b/>
          <w:color w:val="000000" w:themeColor="text1"/>
          <w:sz w:val="28"/>
          <w:szCs w:val="28"/>
          <w:highlight w:val="none"/>
          <w:u w:val="single"/>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single"/>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14:textFill>
            <w14:solidFill>
              <w14:schemeClr w14:val="tx1"/>
            </w14:solidFill>
          </w14:textFill>
        </w:rPr>
        <w:t>元</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，最终结算价格以</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发包方</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指定的第三方评审机构审定结果为准，但不得超过本合同总造价</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p>
    <w:p w14:paraId="6876A45F">
      <w:pPr>
        <w:spacing w:line="600" w:lineRule="exact"/>
        <w:ind w:firstLine="560" w:firstLineChars="200"/>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2.合同价格形式</w:t>
      </w:r>
      <w:r>
        <w:rPr>
          <w:rFonts w:hint="eastAsia" w:ascii="仿宋_GB2312" w:hAnsi="仿宋_GB2312" w:eastAsia="仿宋_GB2312" w:cs="仿宋_GB2312"/>
          <w:b/>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本合同采用固定综合单价，具体单价详见后附工程量清单与计价表。</w:t>
      </w:r>
    </w:p>
    <w:bookmarkEnd w:id="18"/>
    <w:bookmarkEnd w:id="19"/>
    <w:bookmarkEnd w:id="20"/>
    <w:bookmarkEnd w:id="21"/>
    <w:p w14:paraId="489C56BD">
      <w:pPr>
        <w:spacing w:line="600" w:lineRule="exact"/>
        <w:ind w:firstLine="560" w:firstLineChars="200"/>
        <w:outlineLvl w:val="1"/>
        <w:rPr>
          <w:rFonts w:hint="eastAsia" w:ascii="黑体" w:hAnsi="黑体" w:eastAsia="黑体" w:cs="黑体"/>
          <w:b w:val="0"/>
          <w:bCs/>
          <w:color w:val="000000" w:themeColor="text1"/>
          <w:sz w:val="28"/>
          <w:szCs w:val="28"/>
          <w:highlight w:val="none"/>
          <w14:textFill>
            <w14:solidFill>
              <w14:schemeClr w14:val="tx1"/>
            </w14:solidFill>
          </w14:textFill>
        </w:rPr>
      </w:pPr>
      <w:bookmarkStart w:id="22" w:name="_Toc351203485"/>
      <w:bookmarkStart w:id="23" w:name="_Toc15211"/>
      <w:bookmarkStart w:id="24" w:name="_Toc5183"/>
      <w:bookmarkStart w:id="25" w:name="_Toc11644"/>
      <w:bookmarkStart w:id="26" w:name="_Toc32544"/>
      <w:bookmarkStart w:id="27" w:name="_Toc12715"/>
      <w:r>
        <w:rPr>
          <w:rFonts w:hint="eastAsia" w:ascii="黑体" w:hAnsi="黑体" w:eastAsia="黑体" w:cs="黑体"/>
          <w:b w:val="0"/>
          <w:bCs/>
          <w:color w:val="000000" w:themeColor="text1"/>
          <w:sz w:val="28"/>
          <w:szCs w:val="28"/>
          <w:highlight w:val="none"/>
          <w:lang w:eastAsia="zh-CN"/>
          <w14:textFill>
            <w14:solidFill>
              <w14:schemeClr w14:val="tx1"/>
            </w14:solidFill>
          </w14:textFill>
        </w:rPr>
        <w:t>五、</w:t>
      </w:r>
      <w:bookmarkEnd w:id="22"/>
      <w:r>
        <w:rPr>
          <w:rFonts w:hint="eastAsia" w:ascii="黑体" w:hAnsi="黑体" w:eastAsia="黑体" w:cs="黑体"/>
          <w:b w:val="0"/>
          <w:bCs/>
          <w:color w:val="000000" w:themeColor="text1"/>
          <w:sz w:val="28"/>
          <w:szCs w:val="28"/>
          <w:highlight w:val="none"/>
          <w14:textFill>
            <w14:solidFill>
              <w14:schemeClr w14:val="tx1"/>
            </w14:solidFill>
          </w14:textFill>
        </w:rPr>
        <w:t>项目经理</w:t>
      </w:r>
      <w:bookmarkEnd w:id="23"/>
      <w:bookmarkEnd w:id="24"/>
      <w:bookmarkEnd w:id="25"/>
      <w:bookmarkEnd w:id="26"/>
      <w:bookmarkEnd w:id="27"/>
    </w:p>
    <w:p w14:paraId="3A89BBAE">
      <w:pPr>
        <w:spacing w:line="600" w:lineRule="exact"/>
        <w:ind w:firstLine="560" w:firstLineChars="200"/>
        <w:rPr>
          <w:rFonts w:hint="default" w:ascii="仿宋_GB2312" w:hAnsi="仿宋_GB2312" w:eastAsia="仿宋_GB2312" w:cs="仿宋_GB2312"/>
          <w:b/>
          <w:color w:val="000000" w:themeColor="text1"/>
          <w:sz w:val="28"/>
          <w:szCs w:val="28"/>
          <w:highlight w:val="none"/>
          <w:u w:val="single"/>
          <w:lang w:val="en-US" w:eastAsia="zh-CN"/>
          <w14:textFill>
            <w14:solidFill>
              <w14:schemeClr w14:val="tx1"/>
            </w14:solidFill>
          </w14:textFill>
        </w:rPr>
      </w:pPr>
      <w:r>
        <w:rPr>
          <w:rFonts w:hint="eastAsia" w:ascii="仿宋_GB2312" w:hAnsi="仿宋_GB2312" w:eastAsia="仿宋_GB2312" w:cs="仿宋_GB2312"/>
          <w:bCs/>
          <w:color w:val="000000" w:themeColor="text1"/>
          <w:sz w:val="28"/>
          <w:szCs w:val="28"/>
          <w:highlight w:val="none"/>
          <w:lang w:eastAsia="zh-CN"/>
          <w14:textFill>
            <w14:solidFill>
              <w14:schemeClr w14:val="tx1"/>
            </w14:solidFill>
          </w14:textFill>
        </w:rPr>
        <w:t>乙方</w:t>
      </w:r>
      <w:r>
        <w:rPr>
          <w:rFonts w:hint="eastAsia" w:ascii="仿宋_GB2312" w:hAnsi="仿宋_GB2312" w:eastAsia="仿宋_GB2312" w:cs="仿宋_GB2312"/>
          <w:bCs/>
          <w:color w:val="000000" w:themeColor="text1"/>
          <w:sz w:val="28"/>
          <w:szCs w:val="28"/>
          <w:highlight w:val="none"/>
          <w14:textFill>
            <w14:solidFill>
              <w14:schemeClr w14:val="tx1"/>
            </w14:solidFill>
          </w14:textFill>
        </w:rPr>
        <w:t>项目经</w:t>
      </w: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理：</w:t>
      </w:r>
      <w:bookmarkStart w:id="28" w:name="_Toc25420"/>
      <w:bookmarkStart w:id="29" w:name="_Toc3214"/>
      <w:bookmarkStart w:id="30" w:name="_Toc351203486"/>
      <w:bookmarkStart w:id="31" w:name="_Toc6925"/>
      <w:bookmarkStart w:id="32" w:name="_Toc20158"/>
      <w:bookmarkStart w:id="33" w:name="_Toc1466"/>
      <w:r>
        <w:rPr>
          <w:rFonts w:hint="eastAsia" w:ascii="仿宋_GB2312" w:hAnsi="仿宋_GB2312" w:eastAsia="仿宋_GB2312" w:cs="仿宋_GB2312"/>
          <w:bCs/>
          <w:color w:val="000000" w:themeColor="text1"/>
          <w:sz w:val="28"/>
          <w:szCs w:val="28"/>
          <w:highlight w:val="none"/>
          <w:u w:val="none"/>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 xml:space="preserve">       </w:t>
      </w:r>
    </w:p>
    <w:p w14:paraId="7F551120">
      <w:pPr>
        <w:spacing w:line="600" w:lineRule="exact"/>
        <w:ind w:firstLine="560" w:firstLineChars="200"/>
        <w:rPr>
          <w:rFonts w:hint="eastAsia" w:ascii="仿宋_GB2312" w:hAnsi="仿宋_GB2312" w:eastAsia="仿宋_GB2312" w:cs="仿宋_GB2312"/>
          <w:bCs/>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8"/>
          <w:szCs w:val="28"/>
          <w:highlight w:val="none"/>
          <w:lang w:val="en-US" w:eastAsia="zh-CN"/>
          <w14:textFill>
            <w14:solidFill>
              <w14:schemeClr w14:val="tx1"/>
            </w14:solidFill>
          </w14:textFill>
        </w:rPr>
        <w:t>如需变更项目经理，乙方应提前7日书面告知甲方并征得甲方同意，项目负责人及项目成员未经甲方书面同意不得随意更换。</w:t>
      </w:r>
    </w:p>
    <w:p w14:paraId="08FDE1B4">
      <w:pPr>
        <w:spacing w:line="600" w:lineRule="exact"/>
        <w:ind w:firstLine="560" w:firstLineChars="200"/>
        <w:rPr>
          <w:rFonts w:hint="eastAsia" w:ascii="黑体" w:hAnsi="黑体" w:eastAsia="黑体" w:cs="黑体"/>
          <w:b w:val="0"/>
          <w:bCs/>
          <w:color w:val="000000" w:themeColor="text1"/>
          <w:sz w:val="28"/>
          <w:szCs w:val="28"/>
          <w:highlight w:val="none"/>
          <w14:textFill>
            <w14:solidFill>
              <w14:schemeClr w14:val="tx1"/>
            </w14:solidFill>
          </w14:textFill>
        </w:rPr>
      </w:pPr>
      <w:r>
        <w:rPr>
          <w:rFonts w:hint="eastAsia" w:ascii="黑体" w:hAnsi="黑体" w:eastAsia="黑体" w:cs="黑体"/>
          <w:b w:val="0"/>
          <w:bCs/>
          <w:color w:val="000000" w:themeColor="text1"/>
          <w:sz w:val="28"/>
          <w:szCs w:val="28"/>
          <w:highlight w:val="none"/>
          <w:lang w:eastAsia="zh-CN"/>
          <w14:textFill>
            <w14:solidFill>
              <w14:schemeClr w14:val="tx1"/>
            </w14:solidFill>
          </w14:textFill>
        </w:rPr>
        <w:t>六、</w:t>
      </w:r>
      <w:r>
        <w:rPr>
          <w:rFonts w:hint="eastAsia" w:ascii="黑体" w:hAnsi="黑体" w:eastAsia="黑体" w:cs="黑体"/>
          <w:b w:val="0"/>
          <w:bCs/>
          <w:color w:val="000000" w:themeColor="text1"/>
          <w:sz w:val="28"/>
          <w:szCs w:val="28"/>
          <w:highlight w:val="none"/>
          <w14:textFill>
            <w14:solidFill>
              <w14:schemeClr w14:val="tx1"/>
            </w14:solidFill>
          </w14:textFill>
        </w:rPr>
        <w:t>合同文件构成</w:t>
      </w:r>
      <w:bookmarkEnd w:id="28"/>
      <w:bookmarkEnd w:id="29"/>
      <w:bookmarkEnd w:id="30"/>
      <w:bookmarkEnd w:id="31"/>
      <w:bookmarkEnd w:id="32"/>
      <w:bookmarkEnd w:id="33"/>
    </w:p>
    <w:p w14:paraId="16F2724B">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14:textFill>
            <w14:solidFill>
              <w14:schemeClr w14:val="tx1"/>
            </w14:solidFill>
          </w14:textFill>
        </w:rPr>
        <w:t>本协议书与下列文件一起构成合同文件：</w:t>
      </w:r>
    </w:p>
    <w:p w14:paraId="005E5609">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lang w:val="en-US" w:eastAsia="zh-CN"/>
          <w14:textFill>
            <w14:solidFill>
              <w14:schemeClr w14:val="tx1"/>
            </w14:solidFill>
          </w14:textFill>
        </w:rPr>
        <w:t>1.</w:t>
      </w:r>
      <w:r>
        <w:rPr>
          <w:rFonts w:hint="eastAsia" w:ascii="仿宋_GB2312" w:hAnsi="仿宋_GB2312" w:eastAsia="仿宋_GB2312" w:cs="仿宋_GB2312"/>
          <w:bCs/>
          <w:color w:val="000000" w:themeColor="text1"/>
          <w:sz w:val="28"/>
          <w:szCs w:val="28"/>
          <w:highlight w:val="none"/>
          <w14:textFill>
            <w14:solidFill>
              <w14:schemeClr w14:val="tx1"/>
            </w14:solidFill>
          </w14:textFill>
        </w:rPr>
        <w:t>合同条款及其附件；</w:t>
      </w:r>
    </w:p>
    <w:p w14:paraId="1F20F4B2">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lang w:val="en-US" w:eastAsia="zh-CN"/>
          <w14:textFill>
            <w14:solidFill>
              <w14:schemeClr w14:val="tx1"/>
            </w14:solidFill>
          </w14:textFill>
        </w:rPr>
        <w:t>2.</w:t>
      </w:r>
      <w:r>
        <w:rPr>
          <w:rFonts w:hint="eastAsia" w:ascii="仿宋_GB2312" w:hAnsi="仿宋_GB2312" w:eastAsia="仿宋_GB2312" w:cs="仿宋_GB2312"/>
          <w:bCs/>
          <w:color w:val="000000" w:themeColor="text1"/>
          <w:sz w:val="28"/>
          <w:szCs w:val="28"/>
          <w:highlight w:val="none"/>
          <w:lang w:eastAsia="zh-CN"/>
          <w14:textFill>
            <w14:solidFill>
              <w14:schemeClr w14:val="tx1"/>
            </w14:solidFill>
          </w14:textFill>
        </w:rPr>
        <w:t>设计</w:t>
      </w:r>
      <w:r>
        <w:rPr>
          <w:rFonts w:hint="eastAsia" w:ascii="仿宋_GB2312" w:hAnsi="仿宋_GB2312" w:eastAsia="仿宋_GB2312" w:cs="仿宋_GB2312"/>
          <w:bCs/>
          <w:color w:val="000000" w:themeColor="text1"/>
          <w:sz w:val="28"/>
          <w:szCs w:val="28"/>
          <w:highlight w:val="none"/>
          <w14:textFill>
            <w14:solidFill>
              <w14:schemeClr w14:val="tx1"/>
            </w14:solidFill>
          </w14:textFill>
        </w:rPr>
        <w:t>图纸；</w:t>
      </w:r>
    </w:p>
    <w:p w14:paraId="2D414778">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lang w:val="en-US" w:eastAsia="zh-CN"/>
          <w14:textFill>
            <w14:solidFill>
              <w14:schemeClr w14:val="tx1"/>
            </w14:solidFill>
          </w14:textFill>
        </w:rPr>
        <w:t>3.</w:t>
      </w:r>
      <w:r>
        <w:rPr>
          <w:rFonts w:hint="eastAsia" w:ascii="仿宋_GB2312" w:hAnsi="仿宋_GB2312" w:eastAsia="仿宋_GB2312" w:cs="仿宋_GB2312"/>
          <w:bCs/>
          <w:color w:val="000000" w:themeColor="text1"/>
          <w:sz w:val="28"/>
          <w:szCs w:val="28"/>
          <w:highlight w:val="none"/>
          <w14:textFill>
            <w14:solidFill>
              <w14:schemeClr w14:val="tx1"/>
            </w14:solidFill>
          </w14:textFill>
        </w:rPr>
        <w:t>已标价工程量清单或预算书；</w:t>
      </w:r>
    </w:p>
    <w:p w14:paraId="05BB722C">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lang w:val="en-US" w:eastAsia="zh-CN"/>
          <w14:textFill>
            <w14:solidFill>
              <w14:schemeClr w14:val="tx1"/>
            </w14:solidFill>
          </w14:textFill>
        </w:rPr>
        <w:t>4.</w:t>
      </w:r>
      <w:r>
        <w:rPr>
          <w:rFonts w:hint="eastAsia" w:ascii="仿宋_GB2312" w:hAnsi="仿宋_GB2312" w:eastAsia="仿宋_GB2312" w:cs="仿宋_GB2312"/>
          <w:bCs/>
          <w:color w:val="000000" w:themeColor="text1"/>
          <w:sz w:val="28"/>
          <w:szCs w:val="28"/>
          <w:highlight w:val="none"/>
          <w14:textFill>
            <w14:solidFill>
              <w14:schemeClr w14:val="tx1"/>
            </w14:solidFill>
          </w14:textFill>
        </w:rPr>
        <w:t>其他合同文件。</w:t>
      </w:r>
    </w:p>
    <w:p w14:paraId="4BA9A764">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14:textFill>
            <w14:solidFill>
              <w14:schemeClr w14:val="tx1"/>
            </w14:solidFill>
          </w14:textFill>
        </w:rPr>
        <w:t>在合同订立及履行过程中形成的与合同有关的文件均构成合同文件组成部分。</w:t>
      </w:r>
    </w:p>
    <w:p w14:paraId="7CB1427A">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14:textFill>
            <w14:solidFill>
              <w14:schemeClr w14:val="tx1"/>
            </w14:solidFill>
          </w14:textFill>
        </w:rPr>
        <w:t>上述各项合同文件包括合同当事人就该项合同文件所作出的补充和修改，属于同一类内容的文件，应以最新签署的为准。专用合同条款及其附件须经合同当事人签字或盖章。</w:t>
      </w:r>
    </w:p>
    <w:p w14:paraId="2B2725E7">
      <w:pPr>
        <w:spacing w:before="0" w:after="0" w:line="600" w:lineRule="exact"/>
        <w:ind w:firstLine="560" w:firstLineChars="200"/>
        <w:outlineLvl w:val="1"/>
        <w:rPr>
          <w:rFonts w:hint="eastAsia" w:ascii="黑体" w:hAnsi="黑体" w:eastAsia="黑体" w:cs="黑体"/>
          <w:b w:val="0"/>
          <w:bCs/>
          <w:color w:val="000000" w:themeColor="text1"/>
          <w:sz w:val="28"/>
          <w:szCs w:val="28"/>
          <w:highlight w:val="none"/>
          <w14:textFill>
            <w14:solidFill>
              <w14:schemeClr w14:val="tx1"/>
            </w14:solidFill>
          </w14:textFill>
        </w:rPr>
      </w:pPr>
      <w:bookmarkStart w:id="34" w:name="_Toc23196"/>
      <w:bookmarkStart w:id="35" w:name="_Toc351203487"/>
      <w:bookmarkStart w:id="36" w:name="_Toc8286"/>
      <w:bookmarkStart w:id="37" w:name="_Toc8666"/>
      <w:bookmarkStart w:id="38" w:name="_Toc18671"/>
      <w:bookmarkStart w:id="39" w:name="_Toc25361"/>
      <w:r>
        <w:rPr>
          <w:rFonts w:hint="eastAsia" w:ascii="黑体" w:hAnsi="黑体" w:eastAsia="黑体" w:cs="黑体"/>
          <w:b w:val="0"/>
          <w:bCs/>
          <w:color w:val="000000" w:themeColor="text1"/>
          <w:sz w:val="28"/>
          <w:szCs w:val="28"/>
          <w:highlight w:val="none"/>
          <w:lang w:eastAsia="zh-CN"/>
          <w14:textFill>
            <w14:solidFill>
              <w14:schemeClr w14:val="tx1"/>
            </w14:solidFill>
          </w14:textFill>
        </w:rPr>
        <w:t>七、</w:t>
      </w:r>
      <w:r>
        <w:rPr>
          <w:rFonts w:hint="eastAsia" w:ascii="黑体" w:hAnsi="黑体" w:eastAsia="黑体" w:cs="黑体"/>
          <w:b w:val="0"/>
          <w:bCs/>
          <w:color w:val="000000" w:themeColor="text1"/>
          <w:sz w:val="28"/>
          <w:szCs w:val="28"/>
          <w:highlight w:val="none"/>
          <w14:textFill>
            <w14:solidFill>
              <w14:schemeClr w14:val="tx1"/>
            </w14:solidFill>
          </w14:textFill>
        </w:rPr>
        <w:t>承诺</w:t>
      </w:r>
      <w:bookmarkEnd w:id="34"/>
      <w:bookmarkEnd w:id="35"/>
      <w:bookmarkEnd w:id="36"/>
      <w:bookmarkEnd w:id="37"/>
      <w:bookmarkEnd w:id="38"/>
      <w:bookmarkEnd w:id="39"/>
    </w:p>
    <w:p w14:paraId="5DA6AB35">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14:textFill>
            <w14:solidFill>
              <w14:schemeClr w14:val="tx1"/>
            </w14:solidFill>
          </w14:textFill>
        </w:rPr>
        <w:t>1.</w:t>
      </w:r>
      <w:r>
        <w:rPr>
          <w:rFonts w:hint="eastAsia" w:ascii="仿宋_GB2312" w:hAnsi="仿宋_GB2312" w:eastAsia="仿宋_GB2312" w:cs="仿宋_GB2312"/>
          <w:bCs/>
          <w:color w:val="000000" w:themeColor="text1"/>
          <w:sz w:val="28"/>
          <w:szCs w:val="28"/>
          <w:highlight w:val="none"/>
          <w:lang w:eastAsia="zh-CN"/>
          <w14:textFill>
            <w14:solidFill>
              <w14:schemeClr w14:val="tx1"/>
            </w14:solidFill>
          </w14:textFill>
        </w:rPr>
        <w:t>甲方</w:t>
      </w:r>
      <w:r>
        <w:rPr>
          <w:rFonts w:hint="eastAsia" w:ascii="仿宋_GB2312" w:hAnsi="仿宋_GB2312" w:eastAsia="仿宋_GB2312" w:cs="仿宋_GB2312"/>
          <w:bCs/>
          <w:color w:val="000000" w:themeColor="text1"/>
          <w:sz w:val="28"/>
          <w:szCs w:val="28"/>
          <w:highlight w:val="none"/>
          <w14:textFill>
            <w14:solidFill>
              <w14:schemeClr w14:val="tx1"/>
            </w14:solidFill>
          </w14:textFill>
        </w:rPr>
        <w:t>承诺按照法律规定履行项目审批手续、筹集工程建设资金并按照合同约定的期限和方式支付合同价款。</w:t>
      </w:r>
    </w:p>
    <w:p w14:paraId="2E2F3C8A">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14:textFill>
            <w14:solidFill>
              <w14:schemeClr w14:val="tx1"/>
            </w14:solidFill>
          </w14:textFill>
        </w:rPr>
        <w:t>2.</w:t>
      </w:r>
      <w:r>
        <w:rPr>
          <w:rFonts w:hint="eastAsia" w:ascii="仿宋_GB2312" w:hAnsi="仿宋_GB2312" w:eastAsia="仿宋_GB2312" w:cs="仿宋_GB2312"/>
          <w:bCs/>
          <w:color w:val="000000" w:themeColor="text1"/>
          <w:sz w:val="28"/>
          <w:szCs w:val="28"/>
          <w:highlight w:val="none"/>
          <w:lang w:eastAsia="zh-CN"/>
          <w14:textFill>
            <w14:solidFill>
              <w14:schemeClr w14:val="tx1"/>
            </w14:solidFill>
          </w14:textFill>
        </w:rPr>
        <w:t>乙方</w:t>
      </w:r>
      <w:r>
        <w:rPr>
          <w:rFonts w:hint="eastAsia" w:ascii="仿宋_GB2312" w:hAnsi="仿宋_GB2312" w:eastAsia="仿宋_GB2312" w:cs="仿宋_GB2312"/>
          <w:bCs/>
          <w:color w:val="000000" w:themeColor="text1"/>
          <w:sz w:val="28"/>
          <w:szCs w:val="28"/>
          <w:highlight w:val="none"/>
          <w14:textFill>
            <w14:solidFill>
              <w14:schemeClr w14:val="tx1"/>
            </w14:solidFill>
          </w14:textFill>
        </w:rPr>
        <w:t>承诺按照法律规定及合同约定组织完成工程施工，确保工程质量和安全，不进行转包及违法分包，并在缺陷责任期及保修期内承担相应的工程维修责任。</w:t>
      </w:r>
    </w:p>
    <w:p w14:paraId="17DA4EF8">
      <w:pPr>
        <w:pStyle w:val="3"/>
        <w:spacing w:before="0" w:after="0" w:line="600" w:lineRule="exact"/>
        <w:ind w:firstLine="562"/>
        <w:rPr>
          <w:rFonts w:hint="eastAsia" w:ascii="黑体" w:hAnsi="黑体" w:cs="黑体"/>
          <w:b w:val="0"/>
          <w:bCs w:val="0"/>
          <w:color w:val="000000" w:themeColor="text1"/>
          <w:szCs w:val="28"/>
          <w:highlight w:val="none"/>
          <w14:textFill>
            <w14:solidFill>
              <w14:schemeClr w14:val="tx1"/>
            </w14:solidFill>
          </w14:textFill>
        </w:rPr>
      </w:pPr>
      <w:bookmarkStart w:id="40" w:name="_Toc14867"/>
      <w:bookmarkStart w:id="41" w:name="_Toc3879"/>
      <w:bookmarkStart w:id="42" w:name="_Toc24545"/>
      <w:bookmarkStart w:id="43" w:name="_Toc351203488"/>
      <w:bookmarkStart w:id="44" w:name="_Toc6137"/>
      <w:bookmarkStart w:id="45" w:name="_Toc18324"/>
      <w:r>
        <w:rPr>
          <w:rFonts w:hint="eastAsia" w:ascii="黑体" w:hAnsi="黑体" w:eastAsia="黑体" w:cs="黑体"/>
          <w:b w:val="0"/>
          <w:bCs w:val="0"/>
          <w:color w:val="000000" w:themeColor="text1"/>
          <w:sz w:val="28"/>
          <w:szCs w:val="28"/>
          <w:highlight w:val="none"/>
          <w:lang w:eastAsia="zh-CN"/>
          <w14:textFill>
            <w14:solidFill>
              <w14:schemeClr w14:val="tx1"/>
            </w14:solidFill>
          </w14:textFill>
        </w:rPr>
        <w:t>八、</w:t>
      </w:r>
      <w:bookmarkEnd w:id="40"/>
      <w:bookmarkEnd w:id="41"/>
      <w:bookmarkEnd w:id="42"/>
      <w:bookmarkEnd w:id="43"/>
      <w:bookmarkEnd w:id="44"/>
      <w:bookmarkEnd w:id="45"/>
      <w:bookmarkStart w:id="46" w:name="_Toc32661"/>
      <w:bookmarkStart w:id="47" w:name="_Toc8753"/>
      <w:bookmarkStart w:id="48" w:name="_Toc17722"/>
      <w:bookmarkStart w:id="49" w:name="_Toc23386"/>
      <w:bookmarkStart w:id="50" w:name="_Toc351203644"/>
      <w:bookmarkStart w:id="51" w:name="_Toc32696"/>
      <w:bookmarkStart w:id="52" w:name="_Toc312678040"/>
      <w:bookmarkStart w:id="53" w:name="_Toc303539159"/>
      <w:bookmarkStart w:id="54" w:name="_Toc300935002"/>
      <w:bookmarkStart w:id="55" w:name="_Toc304295579"/>
      <w:bookmarkStart w:id="56" w:name="_Toc297216211"/>
      <w:bookmarkStart w:id="57" w:name="_Toc297123552"/>
      <w:r>
        <w:rPr>
          <w:rFonts w:hint="eastAsia" w:ascii="黑体" w:hAnsi="黑体" w:cs="黑体"/>
          <w:b w:val="0"/>
          <w:bCs w:val="0"/>
          <w:color w:val="000000" w:themeColor="text1"/>
          <w:szCs w:val="28"/>
          <w:highlight w:val="none"/>
          <w14:textFill>
            <w14:solidFill>
              <w14:schemeClr w14:val="tx1"/>
            </w14:solidFill>
          </w14:textFill>
        </w:rPr>
        <w:t>合同价格与支付</w:t>
      </w:r>
      <w:bookmarkEnd w:id="46"/>
      <w:bookmarkEnd w:id="47"/>
      <w:bookmarkEnd w:id="48"/>
      <w:bookmarkEnd w:id="49"/>
      <w:bookmarkEnd w:id="50"/>
      <w:bookmarkEnd w:id="51"/>
    </w:p>
    <w:bookmarkEnd w:id="52"/>
    <w:bookmarkEnd w:id="53"/>
    <w:bookmarkEnd w:id="54"/>
    <w:bookmarkEnd w:id="55"/>
    <w:bookmarkEnd w:id="56"/>
    <w:bookmarkEnd w:id="57"/>
    <w:p w14:paraId="43B011CD">
      <w:pPr>
        <w:spacing w:before="0" w:after="0" w:line="600" w:lineRule="exact"/>
        <w:ind w:firstLine="562" w:firstLineChars="200"/>
        <w:outlineLvl w:val="2"/>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pPr>
      <w:bookmarkStart w:id="58" w:name="_Toc292559916"/>
      <w:bookmarkStart w:id="59" w:name="_Toc267251461"/>
      <w:bookmarkStart w:id="60" w:name="_Toc292559411"/>
      <w:bookmarkStart w:id="61" w:name="_Toc296944545"/>
      <w:bookmarkStart w:id="62" w:name="_Toc297120506"/>
      <w:bookmarkStart w:id="63" w:name="_Toc296891034"/>
      <w:bookmarkStart w:id="64" w:name="_Toc297048392"/>
      <w:bookmarkStart w:id="65" w:name="_Toc296503206"/>
      <w:bookmarkStart w:id="66" w:name="_Toc296891246"/>
      <w:bookmarkStart w:id="67" w:name="_Toc296346707"/>
      <w:bookmarkStart w:id="68" w:name="_Toc296347205"/>
      <w:bookmarkStart w:id="69" w:name="_Toc312678041"/>
      <w:bookmarkStart w:id="70" w:name="_Toc304295580"/>
      <w:bookmarkStart w:id="71" w:name="_Toc297216212"/>
      <w:bookmarkStart w:id="72" w:name="_Toc300935003"/>
      <w:bookmarkStart w:id="73" w:name="_Toc303539160"/>
      <w:bookmarkStart w:id="74" w:name="_Toc297123553"/>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8</w:t>
      </w:r>
      <w:r>
        <w:rPr>
          <w:rFonts w:hint="eastAsia" w:ascii="仿宋_GB2312" w:hAnsi="仿宋_GB2312" w:eastAsia="仿宋_GB2312" w:cs="仿宋_GB2312"/>
          <w:b/>
          <w:color w:val="000000" w:themeColor="text1"/>
          <w:sz w:val="28"/>
          <w:szCs w:val="28"/>
          <w:highlight w:val="none"/>
          <w14:textFill>
            <w14:solidFill>
              <w14:schemeClr w14:val="tx1"/>
            </w14:solidFill>
          </w14:textFill>
        </w:rPr>
        <w:t>.1 合</w:t>
      </w:r>
      <w:bookmarkEnd w:id="58"/>
      <w:bookmarkEnd w:id="59"/>
      <w:bookmarkEnd w:id="60"/>
      <w:r>
        <w:rPr>
          <w:rFonts w:hint="eastAsia" w:ascii="仿宋_GB2312" w:hAnsi="仿宋_GB2312" w:eastAsia="仿宋_GB2312" w:cs="仿宋_GB2312"/>
          <w:b/>
          <w:color w:val="000000" w:themeColor="text1"/>
          <w:sz w:val="28"/>
          <w:szCs w:val="28"/>
          <w:highlight w:val="none"/>
          <w14:textFill>
            <w14:solidFill>
              <w14:schemeClr w14:val="tx1"/>
            </w14:solidFill>
          </w14:textFill>
        </w:rPr>
        <w:t>同价</w:t>
      </w:r>
      <w:bookmarkEnd w:id="61"/>
      <w:bookmarkEnd w:id="62"/>
      <w:bookmarkEnd w:id="63"/>
      <w:bookmarkEnd w:id="64"/>
      <w:bookmarkEnd w:id="65"/>
      <w:bookmarkEnd w:id="66"/>
      <w:bookmarkEnd w:id="67"/>
      <w:bookmarkEnd w:id="68"/>
      <w:r>
        <w:rPr>
          <w:rFonts w:hint="eastAsia" w:ascii="仿宋_GB2312" w:hAnsi="仿宋_GB2312" w:eastAsia="仿宋_GB2312" w:cs="仿宋_GB2312"/>
          <w:b/>
          <w:color w:val="000000" w:themeColor="text1"/>
          <w:sz w:val="28"/>
          <w:szCs w:val="28"/>
          <w:highlight w:val="none"/>
          <w14:textFill>
            <w14:solidFill>
              <w14:schemeClr w14:val="tx1"/>
            </w14:solidFill>
          </w14:textFill>
        </w:rPr>
        <w:t>格形式</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及计量</w:t>
      </w:r>
    </w:p>
    <w:bookmarkEnd w:id="69"/>
    <w:bookmarkEnd w:id="70"/>
    <w:bookmarkEnd w:id="71"/>
    <w:bookmarkEnd w:id="72"/>
    <w:bookmarkEnd w:id="73"/>
    <w:bookmarkEnd w:id="74"/>
    <w:p w14:paraId="767EA207">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9"/>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bookmarkStart w:id="75" w:name="_Toc11964"/>
      <w:bookmarkStart w:id="76" w:name="_Toc5621"/>
      <w:bookmarkStart w:id="77" w:name="_Toc4178"/>
      <w:bookmarkStart w:id="78" w:name="_Toc18114"/>
      <w:bookmarkStart w:id="79" w:name="_Toc19792"/>
      <w:bookmarkStart w:id="80" w:name="_Toc2339"/>
      <w:r>
        <w:rPr>
          <w:rFonts w:hint="eastAsia" w:ascii="仿宋_GB2312" w:hAnsi="仿宋_GB2312" w:eastAsia="仿宋_GB2312" w:cs="仿宋_GB2312"/>
          <w:color w:val="000000" w:themeColor="text1"/>
          <w:sz w:val="28"/>
          <w:szCs w:val="28"/>
          <w:highlight w:val="none"/>
          <w14:textFill>
            <w14:solidFill>
              <w14:schemeClr w14:val="tx1"/>
            </w14:solidFill>
          </w14:textFill>
        </w:rPr>
        <w:t>1</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单价合同。</w:t>
      </w:r>
      <w:bookmarkEnd w:id="75"/>
      <w:bookmarkEnd w:id="76"/>
      <w:bookmarkEnd w:id="77"/>
      <w:bookmarkEnd w:id="78"/>
      <w:bookmarkEnd w:id="79"/>
      <w:bookmarkEnd w:id="80"/>
      <w:r>
        <w:rPr>
          <w:rFonts w:hint="eastAsia" w:ascii="仿宋_GB2312" w:eastAsia="仿宋_GB2312"/>
          <w:color w:val="000000"/>
          <w:sz w:val="30"/>
          <w:szCs w:val="30"/>
        </w:rPr>
        <w:t>具体详见附件</w:t>
      </w:r>
      <w:r>
        <w:rPr>
          <w:rFonts w:hint="eastAsia" w:ascii="仿宋_GB2312" w:eastAsia="仿宋_GB2312"/>
          <w:color w:val="000000"/>
          <w:sz w:val="30"/>
          <w:szCs w:val="30"/>
          <w:lang w:eastAsia="zh-CN"/>
        </w:rPr>
        <w:t>。</w:t>
      </w:r>
    </w:p>
    <w:p w14:paraId="516F551C">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9"/>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综合单价包含的风险范</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围：（1）</w:t>
      </w:r>
      <w:r>
        <w:rPr>
          <w:rFonts w:hint="eastAsia" w:ascii="仿宋_GB2312" w:hAnsi="仿宋_GB2312" w:eastAsia="仿宋_GB2312" w:cs="仿宋_GB2312"/>
          <w:color w:val="000000" w:themeColor="text1"/>
          <w:sz w:val="28"/>
          <w:szCs w:val="28"/>
          <w:highlight w:val="none"/>
          <w:u w:val="none"/>
          <w:lang w:eastAsia="zh-CN"/>
          <w14:textFill>
            <w14:solidFill>
              <w14:schemeClr w14:val="tx1"/>
            </w14:solidFill>
          </w14:textFill>
        </w:rPr>
        <w:t>乙方</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因自身原因造成经营管理水平、施工技术、违法违规、发生安全事故、第三人违约侵权、纠纷赔偿等各种因素引起的</w:t>
      </w:r>
      <w:r>
        <w:rPr>
          <w:rFonts w:hint="eastAsia" w:ascii="仿宋_GB2312" w:hAnsi="仿宋_GB2312" w:eastAsia="仿宋_GB2312" w:cs="仿宋_GB2312"/>
          <w:color w:val="000000" w:themeColor="text1"/>
          <w:sz w:val="28"/>
          <w:szCs w:val="28"/>
          <w:highlight w:val="none"/>
          <w:u w:val="none"/>
          <w:lang w:eastAsia="zh-CN"/>
          <w14:textFill>
            <w14:solidFill>
              <w14:schemeClr w14:val="tx1"/>
            </w14:solidFill>
          </w14:textFill>
        </w:rPr>
        <w:t>乙方</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费用增加、损失等；（2）因</w:t>
      </w:r>
      <w:r>
        <w:rPr>
          <w:rFonts w:hint="eastAsia" w:ascii="仿宋_GB2312" w:hAnsi="仿宋_GB2312" w:eastAsia="仿宋_GB2312" w:cs="仿宋_GB2312"/>
          <w:color w:val="000000" w:themeColor="text1"/>
          <w:sz w:val="28"/>
          <w:szCs w:val="28"/>
          <w:highlight w:val="none"/>
          <w:u w:val="none"/>
          <w:lang w:eastAsia="zh-CN"/>
          <w14:textFill>
            <w14:solidFill>
              <w14:schemeClr w14:val="tx1"/>
            </w14:solidFill>
          </w14:textFill>
        </w:rPr>
        <w:t>乙方</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自身原因导致的工期延误费用及赶工费用。</w:t>
      </w:r>
    </w:p>
    <w:p w14:paraId="7CCA6EDF">
      <w:pPr>
        <w:pStyle w:val="6"/>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highlight w:val="none"/>
          <w14:textFill>
            <w14:solidFill>
              <w14:schemeClr w14:val="tx1"/>
            </w14:solidFill>
          </w14:textFill>
        </w:rPr>
        <w:t>工程量计算规则：工程量按《2020湖南省建筑装饰装修工程消耗量标准》计算规则计算，工程量按实计取。</w:t>
      </w:r>
    </w:p>
    <w:p w14:paraId="20A4504A">
      <w:pPr>
        <w:spacing w:line="600" w:lineRule="exact"/>
        <w:ind w:firstLine="560" w:firstLineChars="200"/>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风险费用的计算方法：</w:t>
      </w:r>
      <w:r>
        <w:rPr>
          <w:rFonts w:hint="eastAsia" w:ascii="仿宋_GB2312" w:hAnsi="仿宋_GB2312" w:eastAsia="仿宋_GB2312" w:cs="仿宋_GB2312"/>
          <w:color w:val="000000" w:themeColor="text1"/>
          <w:sz w:val="28"/>
          <w:szCs w:val="28"/>
          <w:highlight w:val="none"/>
          <w:u w:val="single"/>
          <w:lang w:val="en-US" w:eastAsia="zh-CN"/>
          <w14:textFill>
            <w14:solidFill>
              <w14:schemeClr w14:val="tx1"/>
            </w14:solidFill>
          </w14:textFill>
        </w:rPr>
        <w:t>无</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p>
    <w:p w14:paraId="65FCE959">
      <w:pPr>
        <w:spacing w:line="600" w:lineRule="exact"/>
        <w:ind w:firstLine="560" w:firstLineChars="200"/>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风险范围以外合同价格的调整方法：</w:t>
      </w:r>
      <w:r>
        <w:rPr>
          <w:rFonts w:hint="eastAsia" w:ascii="仿宋_GB2312" w:hAnsi="仿宋_GB2312" w:eastAsia="仿宋_GB2312" w:cs="仿宋_GB2312"/>
          <w:color w:val="000000" w:themeColor="text1"/>
          <w:sz w:val="28"/>
          <w:szCs w:val="28"/>
          <w:highlight w:val="none"/>
          <w:u w:val="single" w:color="auto"/>
          <w:lang w:val="en-US" w:eastAsia="zh-CN"/>
          <w14:textFill>
            <w14:solidFill>
              <w14:schemeClr w14:val="tx1"/>
            </w14:solidFill>
          </w14:textFill>
        </w:rPr>
        <w:t>无</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p>
    <w:p w14:paraId="18509310">
      <w:pPr>
        <w:spacing w:before="0" w:after="0" w:line="600" w:lineRule="exact"/>
        <w:ind w:firstLine="562" w:firstLineChars="200"/>
        <w:outlineLvl w:val="2"/>
        <w:rPr>
          <w:rFonts w:hint="eastAsia" w:ascii="仿宋_GB2312" w:hAnsi="仿宋_GB2312" w:eastAsia="仿宋_GB2312" w:cs="仿宋_GB2312"/>
          <w:b/>
          <w:color w:val="000000" w:themeColor="text1"/>
          <w:sz w:val="28"/>
          <w:szCs w:val="28"/>
          <w:highlight w:val="none"/>
          <w14:textFill>
            <w14:solidFill>
              <w14:schemeClr w14:val="tx1"/>
            </w14:solidFill>
          </w14:textFill>
        </w:rPr>
      </w:pP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8</w:t>
      </w:r>
      <w:r>
        <w:rPr>
          <w:rFonts w:hint="eastAsia" w:ascii="仿宋_GB2312" w:hAnsi="仿宋_GB2312" w:eastAsia="仿宋_GB2312" w:cs="仿宋_GB2312"/>
          <w:b/>
          <w:color w:val="000000" w:themeColor="text1"/>
          <w:sz w:val="28"/>
          <w:szCs w:val="28"/>
          <w:highlight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2</w:t>
      </w:r>
      <w:r>
        <w:rPr>
          <w:rFonts w:hint="eastAsia" w:ascii="仿宋_GB2312" w:hAnsi="仿宋_GB2312" w:eastAsia="仿宋_GB2312" w:cs="仿宋_GB2312"/>
          <w:b/>
          <w:color w:val="000000" w:themeColor="text1"/>
          <w:sz w:val="28"/>
          <w:szCs w:val="28"/>
          <w:highlight w:val="none"/>
          <w14:textFill>
            <w14:solidFill>
              <w14:schemeClr w14:val="tx1"/>
            </w14:solidFill>
          </w14:textFill>
        </w:rPr>
        <w:t xml:space="preserve"> 工程进度款支付</w:t>
      </w:r>
    </w:p>
    <w:p w14:paraId="547C9FBD">
      <w:pPr>
        <w:spacing w:line="600" w:lineRule="exact"/>
        <w:ind w:firstLine="560" w:firstLineChars="200"/>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sz w:val="28"/>
          <w:szCs w:val="28"/>
          <w:highlight w:val="none"/>
          <w14:textFill>
            <w14:solidFill>
              <w14:schemeClr w14:val="tx1"/>
            </w14:solidFill>
          </w14:textFill>
        </w:rPr>
        <w:t>.3.</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8"/>
          <w:szCs w:val="28"/>
          <w:highlight w:val="none"/>
          <w14:textFill>
            <w14:solidFill>
              <w14:schemeClr w14:val="tx1"/>
            </w14:solidFill>
          </w14:textFill>
        </w:rPr>
        <w:t xml:space="preserve"> 付款周期</w:t>
      </w:r>
    </w:p>
    <w:p w14:paraId="7CC21F55">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关于</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付款</w:t>
      </w:r>
      <w:r>
        <w:rPr>
          <w:rFonts w:hint="eastAsia" w:ascii="仿宋_GB2312" w:hAnsi="仿宋_GB2312" w:eastAsia="仿宋_GB2312" w:cs="仿宋_GB2312"/>
          <w:color w:val="000000" w:themeColor="text1"/>
          <w:sz w:val="28"/>
          <w:szCs w:val="28"/>
          <w:highlight w:val="none"/>
          <w14:textFill>
            <w14:solidFill>
              <w14:schemeClr w14:val="tx1"/>
            </w14:solidFill>
          </w14:textFill>
        </w:rPr>
        <w:t>周期</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的约定：</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合同签订后10日内甲方按合同金额的40%支付工程款，</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验收合格后且</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发包方指定的第三方评审机构审定</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后，甲方在</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0日内</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无息</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付至结算</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审定</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额的</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97</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，剩余</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3%作为工程款质保金，工程质保期内，维修维护工作原则上由承包方按合同履行维修义务，若需第三方进行维修，其维修费用从承包方工程款质保金中扣除</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w:t>
      </w:r>
    </w:p>
    <w:p w14:paraId="40C605B5">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以上付款条件均以财政资金到账的情况为前提</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因政府财政审批流程</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过长或者财政关账期间无法支付</w:t>
      </w:r>
      <w:r>
        <w:rPr>
          <w:rFonts w:hint="eastAsia" w:ascii="仿宋_GB2312" w:hAnsi="仿宋_GB2312" w:eastAsia="仿宋_GB2312" w:cs="仿宋_GB2312"/>
          <w:color w:val="000000" w:themeColor="text1"/>
          <w:sz w:val="28"/>
          <w:szCs w:val="28"/>
          <w:highlight w:val="none"/>
          <w14:textFill>
            <w14:solidFill>
              <w14:schemeClr w14:val="tx1"/>
            </w14:solidFill>
          </w14:textFill>
        </w:rPr>
        <w:t>导致付款迟延的，乙方应予以</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理</w:t>
      </w:r>
      <w:r>
        <w:rPr>
          <w:rFonts w:hint="eastAsia" w:ascii="仿宋_GB2312" w:hAnsi="仿宋_GB2312" w:eastAsia="仿宋_GB2312" w:cs="仿宋_GB2312"/>
          <w:color w:val="000000" w:themeColor="text1"/>
          <w:sz w:val="28"/>
          <w:szCs w:val="28"/>
          <w:highlight w:val="none"/>
          <w14:textFill>
            <w14:solidFill>
              <w14:schemeClr w14:val="tx1"/>
            </w14:solidFill>
          </w14:textFill>
        </w:rPr>
        <w:t>解，不视为甲方违约。甲方支付每笔款项前,乙方应提供合法等额的增值税普通发票,否则甲方可以拒不付款并且不承担任何责任。</w:t>
      </w:r>
    </w:p>
    <w:p w14:paraId="220E02CB">
      <w:pPr>
        <w:pStyle w:val="3"/>
        <w:spacing w:before="0" w:after="0" w:line="600" w:lineRule="exact"/>
        <w:ind w:firstLine="562"/>
        <w:rPr>
          <w:rFonts w:hint="eastAsia" w:ascii="黑体" w:hAnsi="黑体" w:cs="黑体"/>
          <w:b w:val="0"/>
          <w:bCs w:val="0"/>
          <w:color w:val="000000" w:themeColor="text1"/>
          <w:sz w:val="28"/>
          <w:szCs w:val="28"/>
          <w:highlight w:val="none"/>
          <w:lang w:val="en-US" w:eastAsia="zh-CN"/>
          <w14:textFill>
            <w14:solidFill>
              <w14:schemeClr w14:val="tx1"/>
            </w14:solidFill>
          </w14:textFill>
        </w:rPr>
      </w:pPr>
      <w:bookmarkStart w:id="81" w:name="_Toc16905"/>
      <w:bookmarkStart w:id="82" w:name="_Toc13804"/>
      <w:bookmarkStart w:id="83" w:name="_Toc351203646"/>
      <w:bookmarkStart w:id="84" w:name="_Toc14114"/>
      <w:bookmarkStart w:id="85" w:name="_Toc20728"/>
      <w:bookmarkStart w:id="86" w:name="_Toc17143"/>
      <w:bookmarkStart w:id="87" w:name="_Toc20415"/>
      <w:bookmarkStart w:id="88" w:name="_Toc267251474"/>
      <w:bookmarkStart w:id="89" w:name="_Toc267251472"/>
      <w:bookmarkStart w:id="90" w:name="_Toc267251475"/>
      <w:bookmarkStart w:id="91" w:name="_Toc267251473"/>
      <w:bookmarkStart w:id="92" w:name="_Toc267251470"/>
      <w:bookmarkStart w:id="93" w:name="_Toc267251471"/>
      <w:bookmarkStart w:id="94" w:name="_Toc267251476"/>
      <w:bookmarkStart w:id="95" w:name="_Toc280868709"/>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九、</w:t>
      </w:r>
      <w:r>
        <w:rPr>
          <w:rFonts w:hint="eastAsia" w:ascii="黑体" w:hAnsi="黑体" w:cs="黑体"/>
          <w:b w:val="0"/>
          <w:bCs w:val="0"/>
          <w:color w:val="000000" w:themeColor="text1"/>
          <w:sz w:val="28"/>
          <w:szCs w:val="28"/>
          <w:highlight w:val="none"/>
          <w:lang w:val="en-US" w:eastAsia="zh-CN"/>
          <w14:textFill>
            <w14:solidFill>
              <w14:schemeClr w14:val="tx1"/>
            </w14:solidFill>
          </w14:textFill>
        </w:rPr>
        <w:t>双方权利义务</w:t>
      </w:r>
    </w:p>
    <w:p w14:paraId="5CC9C735">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9</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 乙方应当</w:t>
      </w:r>
      <w:r>
        <w:rPr>
          <w:rFonts w:hint="eastAsia" w:ascii="仿宋_GB2312" w:hAnsi="仿宋_GB2312" w:eastAsia="仿宋_GB2312" w:cs="仿宋_GB2312"/>
          <w:color w:val="000000" w:themeColor="text1"/>
          <w:sz w:val="28"/>
          <w:szCs w:val="28"/>
          <w:highlight w:val="none"/>
          <w14:textFill>
            <w14:solidFill>
              <w14:schemeClr w14:val="tx1"/>
            </w14:solidFill>
          </w14:textFill>
        </w:rPr>
        <w:t>在合同规定的时间内完成所承包工程，</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如存在</w:t>
      </w:r>
      <w:r>
        <w:rPr>
          <w:rFonts w:hint="eastAsia" w:ascii="仿宋_GB2312" w:hAnsi="仿宋_GB2312" w:eastAsia="仿宋_GB2312" w:cs="仿宋_GB2312"/>
          <w:color w:val="000000" w:themeColor="text1"/>
          <w:sz w:val="28"/>
          <w:szCs w:val="28"/>
          <w:highlight w:val="none"/>
          <w14:textFill>
            <w14:solidFill>
              <w14:schemeClr w14:val="tx1"/>
            </w14:solidFill>
          </w14:textFill>
        </w:rPr>
        <w:t>施工质量问题，</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乙方</w:t>
      </w:r>
      <w:r>
        <w:rPr>
          <w:rFonts w:hint="eastAsia" w:ascii="仿宋_GB2312" w:hAnsi="仿宋_GB2312" w:eastAsia="仿宋_GB2312" w:cs="仿宋_GB2312"/>
          <w:color w:val="000000" w:themeColor="text1"/>
          <w:sz w:val="28"/>
          <w:szCs w:val="28"/>
          <w:highlight w:val="none"/>
          <w14:textFill>
            <w14:solidFill>
              <w14:schemeClr w14:val="tx1"/>
            </w14:solidFill>
          </w14:textFill>
        </w:rPr>
        <w:t>负责无偿整修或返工。</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如乙方拒绝整修或返工，甲方有权自行整修或返工，由此产生的费用，甲方有权向乙方追偿。</w:t>
      </w:r>
      <w:r>
        <w:rPr>
          <w:rFonts w:hint="eastAsia" w:ascii="仿宋_GB2312" w:hAnsi="仿宋_GB2312" w:eastAsia="仿宋_GB2312" w:cs="仿宋_GB2312"/>
          <w:color w:val="000000" w:themeColor="text1"/>
          <w:sz w:val="28"/>
          <w:szCs w:val="28"/>
          <w:highlight w:val="none"/>
          <w14:textFill>
            <w14:solidFill>
              <w14:schemeClr w14:val="tx1"/>
            </w14:solidFill>
          </w14:textFill>
        </w:rPr>
        <w:t>已完工程，在未交付使用之前，对工程负保管责任。</w:t>
      </w:r>
    </w:p>
    <w:p w14:paraId="4EEF1164">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9</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.2 </w:t>
      </w:r>
      <w:r>
        <w:rPr>
          <w:rFonts w:hint="eastAsia" w:ascii="仿宋_GB2312" w:hAnsi="仿宋_GB2312" w:eastAsia="仿宋_GB2312" w:cs="仿宋_GB2312"/>
          <w:color w:val="000000" w:themeColor="text1"/>
          <w:sz w:val="28"/>
          <w:szCs w:val="28"/>
          <w:highlight w:val="none"/>
          <w14:textFill>
            <w14:solidFill>
              <w14:schemeClr w14:val="tx1"/>
            </w14:solidFill>
          </w14:textFill>
        </w:rPr>
        <w:t>认真落实好安全生产的各项措施，做好安全环保工作</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进场前，由乙方购买施工人员意外保险，</w:t>
      </w:r>
      <w:r>
        <w:rPr>
          <w:rFonts w:hint="eastAsia" w:ascii="仿宋_GB2312" w:hAnsi="仿宋_GB2312" w:eastAsia="仿宋_GB2312" w:cs="仿宋_GB2312"/>
          <w:color w:val="000000" w:themeColor="text1"/>
          <w:sz w:val="28"/>
          <w:szCs w:val="28"/>
          <w:highlight w:val="none"/>
          <w14:textFill>
            <w14:solidFill>
              <w14:schemeClr w14:val="tx1"/>
            </w14:solidFill>
          </w14:textFill>
        </w:rPr>
        <w:t>确保人身安全，施工期间发生的人员伤亡事故、生产安全事故</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包括但不限于给甲方、乙方以及任何第三方造成的人身损害或者财产损失等）</w:t>
      </w:r>
      <w:r>
        <w:rPr>
          <w:rFonts w:hint="eastAsia" w:ascii="仿宋_GB2312" w:hAnsi="仿宋_GB2312" w:eastAsia="仿宋_GB2312" w:cs="仿宋_GB2312"/>
          <w:color w:val="000000" w:themeColor="text1"/>
          <w:sz w:val="28"/>
          <w:szCs w:val="28"/>
          <w:highlight w:val="none"/>
          <w14:textFill>
            <w14:solidFill>
              <w14:schemeClr w14:val="tx1"/>
            </w14:solidFill>
          </w14:textFill>
        </w:rPr>
        <w:t>均由乙方负责。</w:t>
      </w:r>
    </w:p>
    <w:p w14:paraId="31642654">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9</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.3 </w:t>
      </w:r>
      <w:r>
        <w:rPr>
          <w:rFonts w:hint="eastAsia" w:ascii="仿宋_GB2312" w:hAnsi="仿宋_GB2312" w:eastAsia="仿宋_GB2312" w:cs="仿宋_GB2312"/>
          <w:color w:val="000000" w:themeColor="text1"/>
          <w:sz w:val="28"/>
          <w:szCs w:val="28"/>
          <w:highlight w:val="none"/>
          <w14:textFill>
            <w14:solidFill>
              <w14:schemeClr w14:val="tx1"/>
            </w14:solidFill>
          </w14:textFill>
        </w:rPr>
        <w:t>在进行合同约定的各项工作时，不得侵害甲方与他人使用公用道路、水源、市政</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管网</w:t>
      </w:r>
      <w:r>
        <w:rPr>
          <w:rFonts w:hint="eastAsia" w:ascii="仿宋_GB2312" w:hAnsi="仿宋_GB2312" w:eastAsia="仿宋_GB2312" w:cs="仿宋_GB2312"/>
          <w:color w:val="000000" w:themeColor="text1"/>
          <w:sz w:val="28"/>
          <w:szCs w:val="28"/>
          <w:highlight w:val="none"/>
          <w14:textFill>
            <w14:solidFill>
              <w14:schemeClr w14:val="tx1"/>
            </w14:solidFill>
          </w14:textFill>
        </w:rPr>
        <w:t>等公共设施的权利，避免对邻近公共设施产生干扰，乙方占用或使用他人的施工场地，</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侵害公共利益或者他人合法权益，</w:t>
      </w:r>
      <w:r>
        <w:rPr>
          <w:rFonts w:hint="eastAsia" w:ascii="仿宋_GB2312" w:hAnsi="仿宋_GB2312" w:eastAsia="仿宋_GB2312" w:cs="仿宋_GB2312"/>
          <w:color w:val="000000" w:themeColor="text1"/>
          <w:sz w:val="28"/>
          <w:szCs w:val="28"/>
          <w:highlight w:val="none"/>
          <w14:textFill>
            <w14:solidFill>
              <w14:schemeClr w14:val="tx1"/>
            </w14:solidFill>
          </w14:textFill>
        </w:rPr>
        <w:t>影响他人作业或生活的，应承担相应责任。</w:t>
      </w:r>
    </w:p>
    <w:p w14:paraId="3A70A425">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9</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.4 </w:t>
      </w:r>
      <w:r>
        <w:rPr>
          <w:rFonts w:hint="eastAsia" w:ascii="仿宋_GB2312" w:hAnsi="仿宋_GB2312" w:eastAsia="仿宋_GB2312" w:cs="仿宋_GB2312"/>
          <w:color w:val="000000" w:themeColor="text1"/>
          <w:sz w:val="28"/>
          <w:szCs w:val="28"/>
          <w:highlight w:val="none"/>
          <w14:textFill>
            <w14:solidFill>
              <w14:schemeClr w14:val="tx1"/>
            </w14:solidFill>
          </w14:textFill>
        </w:rPr>
        <w:t>将甲方合同约定支付的各项价款专用于合同工程，且应准时支付其雇用人员工资。</w:t>
      </w:r>
    </w:p>
    <w:p w14:paraId="10314674">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9</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.5 </w:t>
      </w:r>
      <w:r>
        <w:rPr>
          <w:rFonts w:hint="eastAsia" w:ascii="仿宋_GB2312" w:hAnsi="仿宋_GB2312" w:eastAsia="仿宋_GB2312" w:cs="仿宋_GB2312"/>
          <w:color w:val="000000" w:themeColor="text1"/>
          <w:sz w:val="28"/>
          <w:szCs w:val="28"/>
          <w:highlight w:val="none"/>
          <w14:textFill>
            <w14:solidFill>
              <w14:schemeClr w14:val="tx1"/>
            </w14:solidFill>
          </w14:textFill>
        </w:rPr>
        <w:t>乙方不得将该工程</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转包或</w:t>
      </w:r>
      <w:r>
        <w:rPr>
          <w:rFonts w:hint="eastAsia" w:ascii="仿宋_GB2312" w:hAnsi="仿宋_GB2312" w:eastAsia="仿宋_GB2312" w:cs="仿宋_GB2312"/>
          <w:color w:val="000000" w:themeColor="text1"/>
          <w:sz w:val="28"/>
          <w:szCs w:val="28"/>
          <w:highlight w:val="none"/>
          <w14:textFill>
            <w14:solidFill>
              <w14:schemeClr w14:val="tx1"/>
            </w14:solidFill>
          </w14:textFill>
        </w:rPr>
        <w:t>分包给任何其他第三人或将其承包的全部工程肢解后以分包的名义转包给任何其他第三人施工</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否则甲方有权解除合同并不支付任何费用，由此给甲方造成损失的，乙方应当赔偿。</w:t>
      </w:r>
    </w:p>
    <w:p w14:paraId="5229C286">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9</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.6 </w:t>
      </w:r>
      <w:r>
        <w:rPr>
          <w:rFonts w:hint="eastAsia" w:ascii="仿宋_GB2312" w:hAnsi="仿宋_GB2312" w:eastAsia="仿宋_GB2312" w:cs="仿宋_GB2312"/>
          <w:color w:val="000000" w:themeColor="text1"/>
          <w:sz w:val="28"/>
          <w:szCs w:val="28"/>
          <w:highlight w:val="none"/>
          <w14:textFill>
            <w14:solidFill>
              <w14:schemeClr w14:val="tx1"/>
            </w14:solidFill>
          </w14:textFill>
        </w:rPr>
        <w:t>乙方聘请或雇佣的人员与甲方无任何经济或法律关系，如</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乙方施工期间</w:t>
      </w:r>
      <w:r>
        <w:rPr>
          <w:rFonts w:hint="eastAsia" w:ascii="仿宋_GB2312" w:hAnsi="仿宋_GB2312" w:eastAsia="仿宋_GB2312" w:cs="仿宋_GB2312"/>
          <w:color w:val="000000" w:themeColor="text1"/>
          <w:sz w:val="28"/>
          <w:szCs w:val="28"/>
          <w:highlight w:val="none"/>
          <w14:textFill>
            <w14:solidFill>
              <w14:schemeClr w14:val="tx1"/>
            </w14:solidFill>
          </w14:textFill>
        </w:rPr>
        <w:t>发生安全生产事故或人身损害或财产损失（包括但不限于安全事故、第三方或甲方</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乙方</w:t>
      </w:r>
      <w:r>
        <w:rPr>
          <w:rFonts w:hint="eastAsia" w:ascii="仿宋_GB2312" w:hAnsi="仿宋_GB2312" w:eastAsia="仿宋_GB2312" w:cs="仿宋_GB2312"/>
          <w:color w:val="000000" w:themeColor="text1"/>
          <w:sz w:val="28"/>
          <w:szCs w:val="28"/>
          <w:highlight w:val="none"/>
          <w14:textFill>
            <w14:solidFill>
              <w14:schemeClr w14:val="tx1"/>
            </w14:solidFill>
          </w14:textFill>
        </w:rPr>
        <w:t>遭受的损害或损失等）或乙方与其聘请或雇佣的人员之间发生任何争议及纠纷（包括但不限于劳动争议、工伤赔偿等）均由乙方自行处理并承担一切责任，与甲方无关；如甲方因此承担责任的，甲方有权向乙方追偿，且乙方应向甲方支付5000元/人/次/件的违约金。</w:t>
      </w:r>
    </w:p>
    <w:p w14:paraId="4334B31C">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9.7 乙方应对工程质量负责，保证工程质量符合最新国家标准、行业标准、合同约定以及甲方的要求。因乙方工程出现质量问题，给甲方、乙方以及任何第三方造成人身损害或者财产损失的，由乙方承担责任。</w:t>
      </w:r>
    </w:p>
    <w:p w14:paraId="0D4566BC">
      <w:pPr>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9.8 乙方及乙方施工人员应当具备相应的施工资质，否则甲方有权解除本合同并不支付任何费用，由此给甲方造成损失的，乙方还应当承担赔偿责任。</w:t>
      </w:r>
    </w:p>
    <w:p w14:paraId="2EFDDE4E">
      <w:pPr>
        <w:spacing w:line="600" w:lineRule="exact"/>
        <w:ind w:firstLine="560" w:firstLineChars="200"/>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9.9 乙方应当按照合同约定的期限完成工程施工并交付甲方验收，否则每逾期一日，乙方应向甲方支付合同总金额3%的违约金，迟延5日仍未交付的，甲方有权解除合同，并不支付后续费用。</w:t>
      </w:r>
    </w:p>
    <w:p w14:paraId="6F9C38A2">
      <w:pPr>
        <w:spacing w:line="600" w:lineRule="exact"/>
        <w:ind w:firstLine="560" w:firstLineChars="200"/>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9.10 乙方负责在缺陷责任期与保修期之内提供高效维保服务，若乙方在收到甲方维保需求，24小时内无响应，不对问题进行处理的，甲方可根据情况雇佣第三方进行维修更换服务，乙方需承担全部费用。因乙方未及时响应给甲方造成损失的，乙方应当承担赔偿责任。</w:t>
      </w:r>
    </w:p>
    <w:p w14:paraId="5EBC1A1F">
      <w:pPr>
        <w:spacing w:line="600" w:lineRule="exact"/>
        <w:ind w:firstLine="560" w:firstLineChars="200"/>
        <w:rPr>
          <w:rFonts w:hint="default"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9.11 因乙方的工程存在质量问题，给甲方、乙方以及任何第三人造成人身损害或者财产损失的，乙方应当承担赔偿责任。</w:t>
      </w:r>
    </w:p>
    <w:p w14:paraId="1385B0BB">
      <w:pPr>
        <w:spacing w:line="600" w:lineRule="exact"/>
        <w:ind w:firstLine="560" w:firstLineChars="200"/>
        <w:rPr>
          <w:rFonts w:hint="default"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9.12 如乙方存在违约行为或者其他侵犯甲方合法权益的行为，甲方有权直接从未付款项及质保金中扣除违约金及损害赔偿金等，不足部分，乙方还应补足。</w:t>
      </w:r>
    </w:p>
    <w:p w14:paraId="4A5A2C11">
      <w:pPr>
        <w:pStyle w:val="3"/>
        <w:spacing w:before="0" w:after="0" w:line="600" w:lineRule="exact"/>
        <w:ind w:firstLine="560"/>
        <w:rPr>
          <w:rFonts w:hint="eastAsia" w:ascii="黑体" w:hAnsi="黑体" w:eastAsia="黑体" w:cs="黑体"/>
          <w:b w:val="0"/>
          <w:bCs w:val="0"/>
          <w:color w:val="000000" w:themeColor="text1"/>
          <w:sz w:val="28"/>
          <w:szCs w:val="28"/>
          <w:highlight w:val="none"/>
          <w14:textFill>
            <w14:solidFill>
              <w14:schemeClr w14:val="tx1"/>
            </w14:solidFill>
          </w14:textFill>
        </w:rPr>
      </w:pPr>
      <w:r>
        <w:rPr>
          <w:rFonts w:hint="eastAsia" w:ascii="黑体" w:hAnsi="黑体" w:eastAsia="黑体" w:cs="黑体"/>
          <w:b w:val="0"/>
          <w:bCs w:val="0"/>
          <w:color w:val="000000" w:themeColor="text1"/>
          <w:sz w:val="28"/>
          <w:szCs w:val="28"/>
          <w:highlight w:val="none"/>
          <w:lang w:val="en-US" w:eastAsia="zh-CN"/>
          <w14:textFill>
            <w14:solidFill>
              <w14:schemeClr w14:val="tx1"/>
            </w14:solidFill>
          </w14:textFill>
        </w:rPr>
        <w:t>十、</w:t>
      </w:r>
      <w:r>
        <w:rPr>
          <w:rFonts w:hint="eastAsia" w:ascii="黑体" w:hAnsi="黑体" w:eastAsia="黑体" w:cs="黑体"/>
          <w:b w:val="0"/>
          <w:bCs w:val="0"/>
          <w:color w:val="000000" w:themeColor="text1"/>
          <w:sz w:val="28"/>
          <w:szCs w:val="28"/>
          <w:highlight w:val="none"/>
          <w14:textFill>
            <w14:solidFill>
              <w14:schemeClr w14:val="tx1"/>
            </w14:solidFill>
          </w14:textFill>
        </w:rPr>
        <w:t>验收与交付</w:t>
      </w:r>
      <w:bookmarkEnd w:id="81"/>
    </w:p>
    <w:p w14:paraId="6680575A">
      <w:pPr>
        <w:autoSpaceDE w:val="0"/>
        <w:autoSpaceDN w:val="0"/>
        <w:adjustRightInd w:val="0"/>
        <w:spacing w:line="600" w:lineRule="exact"/>
        <w:ind w:firstLine="562" w:firstLineChars="200"/>
        <w:rPr>
          <w:rFonts w:hint="eastAsia" w:ascii="仿宋_GB2312" w:hAnsi="仿宋_GB2312" w:eastAsia="仿宋_GB2312" w:cs="仿宋_GB2312"/>
          <w:b/>
          <w:bCs w:val="0"/>
          <w:color w:val="000000" w:themeColor="text1"/>
          <w:kern w:val="2"/>
          <w:sz w:val="28"/>
          <w:szCs w:val="28"/>
          <w:highlight w:val="none"/>
          <w:lang w:val="en-US" w:eastAsia="zh-CN" w:bidi="ar-SA"/>
          <w14:textFill>
            <w14:solidFill>
              <w14:schemeClr w14:val="tx1"/>
            </w14:solidFill>
          </w14:textFill>
        </w:rPr>
      </w:pPr>
      <w:r>
        <w:rPr>
          <w:rFonts w:hint="eastAsia" w:ascii="仿宋_GB2312" w:hAnsi="仿宋_GB2312" w:eastAsia="仿宋_GB2312" w:cs="仿宋_GB2312"/>
          <w:b/>
          <w:bCs w:val="0"/>
          <w:color w:val="000000" w:themeColor="text1"/>
          <w:kern w:val="2"/>
          <w:sz w:val="28"/>
          <w:szCs w:val="28"/>
          <w:highlight w:val="none"/>
          <w:lang w:val="en-US" w:eastAsia="zh-CN" w:bidi="ar-SA"/>
          <w14:textFill>
            <w14:solidFill>
              <w14:schemeClr w14:val="tx1"/>
            </w14:solidFill>
          </w14:textFill>
        </w:rPr>
        <w:t>10.1 作业质量</w:t>
      </w:r>
    </w:p>
    <w:p w14:paraId="76AA70F8">
      <w:pPr>
        <w:autoSpaceDE w:val="0"/>
        <w:autoSpaceDN w:val="0"/>
        <w:adjustRightInd w:val="0"/>
        <w:spacing w:line="600" w:lineRule="exact"/>
        <w:ind w:firstLine="560" w:firstLineChars="200"/>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sz w:val="28"/>
          <w:szCs w:val="28"/>
          <w:highlight w:val="none"/>
          <w14:textFill>
            <w14:solidFill>
              <w14:schemeClr w14:val="tx1"/>
            </w14:solidFill>
          </w14:textFill>
        </w:rPr>
        <w:t>.1.1 乙方应确保所完成</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施工</w:t>
      </w:r>
      <w:r>
        <w:rPr>
          <w:rFonts w:hint="eastAsia" w:ascii="仿宋_GB2312" w:hAnsi="仿宋_GB2312" w:eastAsia="仿宋_GB2312" w:cs="仿宋_GB2312"/>
          <w:color w:val="000000" w:themeColor="text1"/>
          <w:sz w:val="28"/>
          <w:szCs w:val="28"/>
          <w:highlight w:val="none"/>
          <w14:textFill>
            <w14:solidFill>
              <w14:schemeClr w14:val="tx1"/>
            </w14:solidFill>
          </w14:textFill>
        </w:rPr>
        <w:t>作业符合合同约定的质量标准。甲方有作业规范要求的，乙方的</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施工</w:t>
      </w:r>
      <w:r>
        <w:rPr>
          <w:rFonts w:hint="eastAsia" w:ascii="仿宋_GB2312" w:hAnsi="仿宋_GB2312" w:eastAsia="仿宋_GB2312" w:cs="仿宋_GB2312"/>
          <w:color w:val="000000" w:themeColor="text1"/>
          <w:sz w:val="28"/>
          <w:szCs w:val="28"/>
          <w:highlight w:val="none"/>
          <w14:textFill>
            <w14:solidFill>
              <w14:schemeClr w14:val="tx1"/>
            </w14:solidFill>
          </w14:textFill>
        </w:rPr>
        <w:t>作业还应当满足甲方的作业规范要求。</w:t>
      </w:r>
    </w:p>
    <w:p w14:paraId="76EE00AE">
      <w:pPr>
        <w:autoSpaceDE w:val="0"/>
        <w:autoSpaceDN w:val="0"/>
        <w:adjustRightInd w:val="0"/>
        <w:spacing w:line="600" w:lineRule="exact"/>
        <w:ind w:firstLine="560" w:firstLineChars="200"/>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sz w:val="28"/>
          <w:szCs w:val="28"/>
          <w:highlight w:val="none"/>
          <w14:textFill>
            <w14:solidFill>
              <w14:schemeClr w14:val="tx1"/>
            </w14:solidFill>
          </w14:textFill>
        </w:rPr>
        <w:t>.1.2 甲方有权随时对乙方实施的</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施工</w:t>
      </w:r>
      <w:r>
        <w:rPr>
          <w:rFonts w:hint="eastAsia" w:ascii="仿宋_GB2312" w:hAnsi="仿宋_GB2312" w:eastAsia="仿宋_GB2312" w:cs="仿宋_GB2312"/>
          <w:color w:val="000000" w:themeColor="text1"/>
          <w:sz w:val="28"/>
          <w:szCs w:val="28"/>
          <w:highlight w:val="none"/>
          <w14:textFill>
            <w14:solidFill>
              <w14:schemeClr w14:val="tx1"/>
            </w14:solidFill>
          </w14:textFill>
        </w:rPr>
        <w:t>作业进行监督检查，确保</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施工</w:t>
      </w:r>
      <w:r>
        <w:rPr>
          <w:rFonts w:hint="eastAsia" w:ascii="仿宋_GB2312" w:hAnsi="仿宋_GB2312" w:eastAsia="仿宋_GB2312" w:cs="仿宋_GB2312"/>
          <w:color w:val="000000" w:themeColor="text1"/>
          <w:sz w:val="28"/>
          <w:szCs w:val="28"/>
          <w:highlight w:val="none"/>
          <w14:textFill>
            <w14:solidFill>
              <w14:schemeClr w14:val="tx1"/>
            </w14:solidFill>
          </w14:textFill>
        </w:rPr>
        <w:t>作业质量，并对存在的质量隐患提出整改要求，乙方应当及时完成整改。</w:t>
      </w:r>
    </w:p>
    <w:p w14:paraId="43407E67">
      <w:pPr>
        <w:autoSpaceDE w:val="0"/>
        <w:autoSpaceDN w:val="0"/>
        <w:adjustRightInd w:val="0"/>
        <w:spacing w:line="600" w:lineRule="exact"/>
        <w:ind w:firstLine="562" w:firstLineChars="200"/>
        <w:rPr>
          <w:rFonts w:hint="eastAsia" w:ascii="仿宋_GB2312" w:hAnsi="仿宋_GB2312" w:eastAsia="仿宋_GB2312" w:cs="仿宋_GB2312"/>
          <w:b/>
          <w:bCs w:val="0"/>
          <w:color w:val="000000" w:themeColor="text1"/>
          <w:kern w:val="2"/>
          <w:sz w:val="28"/>
          <w:szCs w:val="28"/>
          <w:highlight w:val="none"/>
          <w:lang w:val="en-US" w:eastAsia="zh-CN" w:bidi="ar-SA"/>
          <w14:textFill>
            <w14:solidFill>
              <w14:schemeClr w14:val="tx1"/>
            </w14:solidFill>
          </w14:textFill>
        </w:rPr>
      </w:pPr>
      <w:r>
        <w:rPr>
          <w:rFonts w:hint="eastAsia" w:ascii="仿宋_GB2312" w:hAnsi="仿宋_GB2312" w:eastAsia="仿宋_GB2312" w:cs="仿宋_GB2312"/>
          <w:b/>
          <w:bCs w:val="0"/>
          <w:color w:val="000000" w:themeColor="text1"/>
          <w:kern w:val="2"/>
          <w:sz w:val="28"/>
          <w:szCs w:val="28"/>
          <w:highlight w:val="none"/>
          <w:lang w:val="en-US" w:eastAsia="zh-CN" w:bidi="ar-SA"/>
          <w14:textFill>
            <w14:solidFill>
              <w14:schemeClr w14:val="tx1"/>
            </w14:solidFill>
          </w14:textFill>
        </w:rPr>
        <w:t>10.2 参加检验与验收</w:t>
      </w:r>
    </w:p>
    <w:p w14:paraId="5C739824">
      <w:pPr>
        <w:pStyle w:val="7"/>
        <w:keepNext w:val="0"/>
        <w:keepLines w:val="0"/>
        <w:pageBreakBefore w:val="0"/>
        <w:widowControl/>
        <w:kinsoku w:val="0"/>
        <w:wordWrap/>
        <w:overflowPunct/>
        <w:topLinePunct w:val="0"/>
        <w:autoSpaceDE w:val="0"/>
        <w:autoSpaceDN w:val="0"/>
        <w:bidi w:val="0"/>
        <w:adjustRightInd w:val="0"/>
        <w:snapToGrid w:val="0"/>
        <w:spacing w:line="600" w:lineRule="exact"/>
        <w:ind w:firstLine="560" w:firstLineChars="200"/>
        <w:textAlignment w:val="baseline"/>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10.2.1</w:t>
      </w:r>
      <w:r>
        <w:rPr>
          <w:rFonts w:hint="eastAsia" w:ascii="仿宋_GB2312" w:hAnsi="仿宋_GB2312" w:eastAsia="仿宋_GB2312" w:cs="仿宋_GB2312"/>
          <w:color w:val="000000" w:themeColor="text1"/>
          <w:sz w:val="28"/>
          <w:szCs w:val="28"/>
          <w:highlight w:val="none"/>
          <w14:textFill>
            <w14:solidFill>
              <w14:schemeClr w14:val="tx1"/>
            </w14:solidFill>
          </w14:textFill>
        </w:rPr>
        <w:t>工程质量应达到设计图纸要求及约定的标准和质量目标。如图纸、国家及当地政府的施工验收规范、标准、建设单位的指令之间有差异和不一致的，乙方应取得甲方的书面认可后，以质量要求较严者为施工依据。</w:t>
      </w:r>
    </w:p>
    <w:p w14:paraId="089ACF5C">
      <w:pPr>
        <w:pStyle w:val="3"/>
        <w:spacing w:before="0" w:after="0" w:line="600" w:lineRule="exact"/>
        <w:ind w:firstLine="560"/>
        <w:rPr>
          <w:rFonts w:hint="eastAsia" w:ascii="黑体" w:hAnsi="黑体" w:cs="黑体"/>
          <w:b w:val="0"/>
          <w:bCs/>
          <w:color w:val="000000" w:themeColor="text1"/>
          <w:szCs w:val="28"/>
          <w:highlight w:val="none"/>
          <w14:textFill>
            <w14:solidFill>
              <w14:schemeClr w14:val="tx1"/>
            </w14:solidFill>
          </w14:textFill>
        </w:rPr>
      </w:pPr>
      <w:r>
        <w:rPr>
          <w:rFonts w:hint="eastAsia" w:ascii="黑体" w:hAnsi="黑体" w:eastAsia="黑体" w:cs="黑体"/>
          <w:b w:val="0"/>
          <w:bCs/>
          <w:color w:val="000000" w:themeColor="text1"/>
          <w:szCs w:val="28"/>
          <w:highlight w:val="none"/>
          <w:lang w:val="en-US" w:eastAsia="zh-CN"/>
          <w14:textFill>
            <w14:solidFill>
              <w14:schemeClr w14:val="tx1"/>
            </w14:solidFill>
          </w14:textFill>
        </w:rPr>
        <w:t>十一、</w:t>
      </w:r>
      <w:r>
        <w:rPr>
          <w:rFonts w:hint="eastAsia" w:ascii="黑体" w:hAnsi="黑体" w:cs="黑体"/>
          <w:b w:val="0"/>
          <w:bCs/>
          <w:color w:val="000000" w:themeColor="text1"/>
          <w:szCs w:val="28"/>
          <w:highlight w:val="none"/>
          <w14:textFill>
            <w14:solidFill>
              <w14:schemeClr w14:val="tx1"/>
            </w14:solidFill>
          </w14:textFill>
        </w:rPr>
        <w:t>竣工结算</w:t>
      </w:r>
      <w:bookmarkEnd w:id="82"/>
      <w:bookmarkEnd w:id="83"/>
      <w:bookmarkEnd w:id="84"/>
      <w:bookmarkEnd w:id="85"/>
      <w:bookmarkEnd w:id="86"/>
      <w:bookmarkEnd w:id="87"/>
    </w:p>
    <w:p w14:paraId="5E2AD8F3">
      <w:pPr>
        <w:spacing w:before="0" w:after="0" w:line="600" w:lineRule="exact"/>
        <w:ind w:firstLine="562" w:firstLineChars="200"/>
        <w:outlineLvl w:val="2"/>
        <w:rPr>
          <w:rFonts w:hint="eastAsia" w:ascii="仿宋_GB2312" w:hAnsi="仿宋_GB2312" w:eastAsia="仿宋_GB2312" w:cs="仿宋_GB2312"/>
          <w:b/>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b/>
          <w:color w:val="000000" w:themeColor="text1"/>
          <w:sz w:val="28"/>
          <w:szCs w:val="28"/>
          <w:highlight w:val="none"/>
          <w:u w:val="none" w:color="auto"/>
          <w14:textFill>
            <w14:solidFill>
              <w14:schemeClr w14:val="tx1"/>
            </w14:solidFill>
          </w14:textFill>
        </w:rPr>
        <w:t>1</w:t>
      </w:r>
      <w:r>
        <w:rPr>
          <w:rFonts w:hint="eastAsia" w:ascii="仿宋_GB2312" w:hAnsi="仿宋_GB2312" w:eastAsia="仿宋_GB2312" w:cs="仿宋_GB2312"/>
          <w:b/>
          <w:color w:val="000000" w:themeColor="text1"/>
          <w:sz w:val="28"/>
          <w:szCs w:val="28"/>
          <w:highlight w:val="none"/>
          <w:u w:val="none" w:color="auto"/>
          <w:lang w:val="en-US" w:eastAsia="zh-CN"/>
          <w14:textFill>
            <w14:solidFill>
              <w14:schemeClr w14:val="tx1"/>
            </w14:solidFill>
          </w14:textFill>
        </w:rPr>
        <w:t>1</w:t>
      </w:r>
      <w:r>
        <w:rPr>
          <w:rFonts w:hint="eastAsia" w:ascii="仿宋_GB2312" w:hAnsi="仿宋_GB2312" w:eastAsia="仿宋_GB2312" w:cs="仿宋_GB2312"/>
          <w:b/>
          <w:color w:val="000000" w:themeColor="text1"/>
          <w:sz w:val="28"/>
          <w:szCs w:val="28"/>
          <w:highlight w:val="none"/>
          <w:u w:val="none" w:color="auto"/>
          <w14:textFill>
            <w14:solidFill>
              <w14:schemeClr w14:val="tx1"/>
            </w14:solidFill>
          </w14:textFill>
        </w:rPr>
        <w:t>.1 竣工结算申请</w:t>
      </w:r>
    </w:p>
    <w:p w14:paraId="20DF439A">
      <w:pPr>
        <w:spacing w:line="600" w:lineRule="exact"/>
        <w:ind w:firstLine="560" w:firstLineChars="200"/>
        <w:jc w:val="left"/>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竣工结算申请单应包括的内容：（1） 竣工结算合同价格；</w:t>
      </w:r>
    </w:p>
    <w:p w14:paraId="69B06895">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（2） </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甲方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已支付</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乙方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的款项</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）甲方应支付乙方的合同价款</w:t>
      </w:r>
    </w:p>
    <w:p w14:paraId="0F13A049">
      <w:pPr>
        <w:spacing w:before="0" w:after="0" w:line="600" w:lineRule="exact"/>
        <w:ind w:firstLine="562" w:firstLineChars="200"/>
        <w:outlineLvl w:val="2"/>
        <w:rPr>
          <w:rFonts w:hint="eastAsia" w:ascii="仿宋_GB2312" w:hAnsi="仿宋_GB2312" w:eastAsia="仿宋_GB2312" w:cs="仿宋_GB2312"/>
          <w:b/>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b/>
          <w:color w:val="000000" w:themeColor="text1"/>
          <w:sz w:val="28"/>
          <w:szCs w:val="28"/>
          <w:highlight w:val="none"/>
          <w:u w:val="none" w:color="auto"/>
          <w14:textFill>
            <w14:solidFill>
              <w14:schemeClr w14:val="tx1"/>
            </w14:solidFill>
          </w14:textFill>
        </w:rPr>
        <w:t>1</w:t>
      </w:r>
      <w:r>
        <w:rPr>
          <w:rFonts w:hint="eastAsia" w:ascii="仿宋_GB2312" w:hAnsi="仿宋_GB2312" w:eastAsia="仿宋_GB2312" w:cs="仿宋_GB2312"/>
          <w:b/>
          <w:color w:val="000000" w:themeColor="text1"/>
          <w:sz w:val="28"/>
          <w:szCs w:val="28"/>
          <w:highlight w:val="none"/>
          <w:u w:val="none" w:color="auto"/>
          <w:lang w:val="en-US" w:eastAsia="zh-CN"/>
          <w14:textFill>
            <w14:solidFill>
              <w14:schemeClr w14:val="tx1"/>
            </w14:solidFill>
          </w14:textFill>
        </w:rPr>
        <w:t>1</w:t>
      </w:r>
      <w:r>
        <w:rPr>
          <w:rFonts w:hint="eastAsia" w:ascii="仿宋_GB2312" w:hAnsi="仿宋_GB2312" w:eastAsia="仿宋_GB2312" w:cs="仿宋_GB2312"/>
          <w:b/>
          <w:color w:val="000000" w:themeColor="text1"/>
          <w:sz w:val="28"/>
          <w:szCs w:val="28"/>
          <w:highlight w:val="none"/>
          <w:u w:val="none" w:color="auto"/>
          <w14:textFill>
            <w14:solidFill>
              <w14:schemeClr w14:val="tx1"/>
            </w14:solidFill>
          </w14:textFill>
        </w:rPr>
        <w:t>.2 竣工结算审核</w:t>
      </w:r>
    </w:p>
    <w:p w14:paraId="6AA114AB">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甲方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审批竣工付款申请单的期限：【 </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30天</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 】。</w:t>
      </w:r>
    </w:p>
    <w:p w14:paraId="501DD7EE">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甲方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完成竣工付款的期限：【</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30天</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 】。</w:t>
      </w:r>
    </w:p>
    <w:p w14:paraId="6AE27388">
      <w:pPr>
        <w:spacing w:before="0" w:after="0" w:line="600" w:lineRule="exact"/>
        <w:ind w:firstLine="562" w:firstLineChars="200"/>
        <w:outlineLvl w:val="2"/>
        <w:rPr>
          <w:rFonts w:hint="eastAsia" w:ascii="仿宋_GB2312" w:hAnsi="仿宋_GB2312" w:eastAsia="仿宋_GB2312" w:cs="仿宋_GB2312"/>
          <w:b/>
          <w:color w:val="000000" w:themeColor="text1"/>
          <w:sz w:val="28"/>
          <w:szCs w:val="28"/>
          <w:highlight w:val="none"/>
          <w14:textFill>
            <w14:solidFill>
              <w14:schemeClr w14:val="tx1"/>
            </w14:solidFill>
          </w14:textFill>
        </w:rPr>
      </w:pPr>
      <w:r>
        <w:rPr>
          <w:rFonts w:hint="eastAsia" w:ascii="仿宋_GB2312" w:hAnsi="仿宋_GB2312" w:eastAsia="仿宋_GB2312" w:cs="仿宋_GB2312"/>
          <w:b/>
          <w:color w:val="000000" w:themeColor="text1"/>
          <w:sz w:val="28"/>
          <w:szCs w:val="28"/>
          <w:highlight w:val="none"/>
          <w14:textFill>
            <w14:solidFill>
              <w14:schemeClr w14:val="tx1"/>
            </w14:solidFill>
          </w14:textFill>
        </w:rPr>
        <w:t>1</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1</w:t>
      </w:r>
      <w:r>
        <w:rPr>
          <w:rFonts w:hint="eastAsia" w:ascii="仿宋_GB2312" w:hAnsi="仿宋_GB2312" w:eastAsia="仿宋_GB2312" w:cs="仿宋_GB2312"/>
          <w:b/>
          <w:color w:val="000000" w:themeColor="text1"/>
          <w:sz w:val="28"/>
          <w:szCs w:val="28"/>
          <w:highlight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3</w:t>
      </w:r>
      <w:r>
        <w:rPr>
          <w:rFonts w:hint="eastAsia" w:ascii="仿宋_GB2312" w:hAnsi="仿宋_GB2312" w:eastAsia="仿宋_GB2312" w:cs="仿宋_GB2312"/>
          <w:b/>
          <w:color w:val="000000" w:themeColor="text1"/>
          <w:sz w:val="28"/>
          <w:szCs w:val="28"/>
          <w:highlight w:val="none"/>
          <w14:textFill>
            <w14:solidFill>
              <w14:schemeClr w14:val="tx1"/>
            </w14:solidFill>
          </w14:textFill>
        </w:rPr>
        <w:t xml:space="preserve"> 最终结清</w:t>
      </w:r>
    </w:p>
    <w:p w14:paraId="101246C9">
      <w:pPr>
        <w:spacing w:line="600" w:lineRule="exact"/>
        <w:ind w:firstLine="560" w:firstLineChars="200"/>
        <w:jc w:val="left"/>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1</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highlight w:val="none"/>
          <w14:textFill>
            <w14:solidFill>
              <w14:schemeClr w14:val="tx1"/>
            </w14:solidFill>
          </w14:textFill>
        </w:rPr>
        <w:t>.1 最终结清申请单</w:t>
      </w:r>
    </w:p>
    <w:p w14:paraId="22373059">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乙方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提交最终结清申请单的份数：【 </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1</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 】。</w:t>
      </w:r>
    </w:p>
    <w:p w14:paraId="102B3C7A">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乙方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提交最终结算申请单的期限：【 缺陷责任期终止证书颁发后 7 天内 】。</w:t>
      </w:r>
    </w:p>
    <w:p w14:paraId="7E11E974">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1</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1</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.2 最终结清证书和支付</w:t>
      </w:r>
    </w:p>
    <w:p w14:paraId="28658639">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（1）</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甲方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完成最终结清申请单的审批并颁发最终结清证书的期限：【 </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30天</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 】。</w:t>
      </w:r>
    </w:p>
    <w:p w14:paraId="738DBF25">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（2）</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甲方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完成支付的期限： </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甲方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应在颁发最终结清证书后 </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30</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 天内完成支付。</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甲方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逾期支付的，按照贷款市场报价利率（LPR）支付利息；逾期支付超过56 天的，按照贷款市场报价利率（LPR）的两倍支付利息</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但最高不得超过合同总金额的5%</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w:t>
      </w:r>
    </w:p>
    <w:bookmarkEnd w:id="88"/>
    <w:bookmarkEnd w:id="89"/>
    <w:bookmarkEnd w:id="90"/>
    <w:bookmarkEnd w:id="91"/>
    <w:bookmarkEnd w:id="92"/>
    <w:bookmarkEnd w:id="93"/>
    <w:bookmarkEnd w:id="94"/>
    <w:bookmarkEnd w:id="95"/>
    <w:p w14:paraId="2CA34C70">
      <w:pPr>
        <w:pStyle w:val="3"/>
        <w:spacing w:before="0" w:after="0" w:line="600" w:lineRule="exact"/>
        <w:ind w:firstLine="562"/>
        <w:rPr>
          <w:rFonts w:hint="eastAsia" w:ascii="黑体" w:hAnsi="黑体" w:cs="黑体"/>
          <w:b w:val="0"/>
          <w:bCs/>
          <w:color w:val="000000" w:themeColor="text1"/>
          <w:szCs w:val="28"/>
          <w:highlight w:val="none"/>
          <w14:textFill>
            <w14:solidFill>
              <w14:schemeClr w14:val="tx1"/>
            </w14:solidFill>
          </w14:textFill>
        </w:rPr>
      </w:pPr>
      <w:bookmarkStart w:id="96" w:name="_Toc4764"/>
      <w:bookmarkStart w:id="97" w:name="_Toc16713"/>
      <w:bookmarkStart w:id="98" w:name="_Toc4555"/>
      <w:bookmarkStart w:id="99" w:name="_Toc351203647"/>
      <w:bookmarkStart w:id="100" w:name="_Toc20499"/>
      <w:bookmarkStart w:id="101" w:name="_Toc7265"/>
      <w:bookmarkStart w:id="102" w:name="_Toc267251483"/>
      <w:bookmarkStart w:id="103" w:name="_Toc267251484"/>
      <w:bookmarkStart w:id="104" w:name="_Toc267251482"/>
      <w:bookmarkStart w:id="105" w:name="_Toc267251485"/>
      <w:bookmarkStart w:id="106" w:name="_Toc267251486"/>
      <w:bookmarkStart w:id="107" w:name="_Toc267251495"/>
      <w:bookmarkStart w:id="108" w:name="_Toc267251496"/>
      <w:bookmarkStart w:id="109" w:name="_Toc267251493"/>
      <w:bookmarkStart w:id="110" w:name="_Toc267251490"/>
      <w:bookmarkStart w:id="111" w:name="_Toc267251502"/>
      <w:bookmarkStart w:id="112" w:name="_Toc267251501"/>
      <w:bookmarkStart w:id="113" w:name="_Toc267251497"/>
      <w:bookmarkStart w:id="114" w:name="_Toc267251494"/>
      <w:bookmarkStart w:id="115" w:name="_Toc267251498"/>
      <w:bookmarkStart w:id="116" w:name="_Toc267251492"/>
      <w:bookmarkStart w:id="117" w:name="_Toc267251491"/>
      <w:bookmarkStart w:id="118" w:name="_Toc267251488"/>
      <w:bookmarkStart w:id="119" w:name="_Toc267251499"/>
      <w:bookmarkStart w:id="120" w:name="_Toc267251503"/>
      <w:bookmarkStart w:id="121" w:name="_Toc267251489"/>
      <w:bookmarkStart w:id="122" w:name="_Toc267251504"/>
      <w:bookmarkStart w:id="123" w:name="_Toc267251507"/>
      <w:bookmarkStart w:id="124" w:name="_Toc267251506"/>
      <w:bookmarkStart w:id="125" w:name="_Toc267251514"/>
      <w:bookmarkStart w:id="126" w:name="_Toc267251515"/>
      <w:bookmarkStart w:id="127" w:name="_Toc267251508"/>
      <w:bookmarkStart w:id="128" w:name="_Toc267251511"/>
      <w:bookmarkStart w:id="129" w:name="_Toc267251513"/>
      <w:bookmarkStart w:id="130" w:name="_Toc267251510"/>
      <w:bookmarkStart w:id="131" w:name="_Toc267251509"/>
      <w:r>
        <w:rPr>
          <w:rFonts w:hint="eastAsia" w:ascii="黑体" w:hAnsi="黑体" w:eastAsia="黑体" w:cs="黑体"/>
          <w:b w:val="0"/>
          <w:bCs/>
          <w:color w:val="000000" w:themeColor="text1"/>
          <w:szCs w:val="28"/>
          <w:highlight w:val="none"/>
          <w:lang w:val="en-US" w:eastAsia="zh-CN"/>
          <w14:textFill>
            <w14:solidFill>
              <w14:schemeClr w14:val="tx1"/>
            </w14:solidFill>
          </w14:textFill>
        </w:rPr>
        <w:t>十二、</w:t>
      </w:r>
      <w:r>
        <w:rPr>
          <w:rFonts w:hint="eastAsia" w:ascii="黑体" w:hAnsi="黑体" w:cs="黑体"/>
          <w:b w:val="0"/>
          <w:bCs/>
          <w:color w:val="000000" w:themeColor="text1"/>
          <w:szCs w:val="28"/>
          <w:highlight w:val="none"/>
          <w14:textFill>
            <w14:solidFill>
              <w14:schemeClr w14:val="tx1"/>
            </w14:solidFill>
          </w14:textFill>
        </w:rPr>
        <w:t>缺陷责任期与保修</w:t>
      </w:r>
      <w:bookmarkEnd w:id="96"/>
      <w:bookmarkEnd w:id="97"/>
      <w:bookmarkEnd w:id="98"/>
      <w:bookmarkEnd w:id="99"/>
      <w:bookmarkEnd w:id="100"/>
      <w:bookmarkEnd w:id="101"/>
    </w:p>
    <w:p w14:paraId="3C7A202F">
      <w:pPr>
        <w:spacing w:before="0" w:after="0" w:line="600" w:lineRule="exact"/>
        <w:ind w:firstLine="562" w:firstLineChars="200"/>
        <w:outlineLvl w:val="2"/>
        <w:rPr>
          <w:rFonts w:hint="eastAsia" w:ascii="仿宋_GB2312" w:hAnsi="仿宋_GB2312" w:eastAsia="仿宋_GB2312" w:cs="仿宋_GB2312"/>
          <w:b/>
          <w:color w:val="000000" w:themeColor="text1"/>
          <w:sz w:val="28"/>
          <w:szCs w:val="28"/>
          <w:highlight w:val="none"/>
          <w14:textFill>
            <w14:solidFill>
              <w14:schemeClr w14:val="tx1"/>
            </w14:solidFill>
          </w14:textFill>
        </w:rPr>
      </w:pPr>
      <w:r>
        <w:rPr>
          <w:rFonts w:hint="eastAsia" w:ascii="仿宋_GB2312" w:hAnsi="仿宋_GB2312" w:eastAsia="仿宋_GB2312" w:cs="仿宋_GB2312"/>
          <w:b/>
          <w:color w:val="000000" w:themeColor="text1"/>
          <w:sz w:val="28"/>
          <w:szCs w:val="28"/>
          <w:highlight w:val="none"/>
          <w14:textFill>
            <w14:solidFill>
              <w14:schemeClr w14:val="tx1"/>
            </w14:solidFill>
          </w14:textFill>
        </w:rPr>
        <w:t>1</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2</w:t>
      </w:r>
      <w:r>
        <w:rPr>
          <w:rFonts w:hint="eastAsia" w:ascii="仿宋_GB2312" w:hAnsi="仿宋_GB2312" w:eastAsia="仿宋_GB2312" w:cs="仿宋_GB2312"/>
          <w:b/>
          <w:color w:val="000000" w:themeColor="text1"/>
          <w:sz w:val="28"/>
          <w:szCs w:val="28"/>
          <w:highlight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1</w:t>
      </w:r>
      <w:r>
        <w:rPr>
          <w:rFonts w:hint="eastAsia" w:ascii="仿宋_GB2312" w:hAnsi="仿宋_GB2312" w:eastAsia="仿宋_GB2312" w:cs="仿宋_GB2312"/>
          <w:b/>
          <w:color w:val="000000" w:themeColor="text1"/>
          <w:sz w:val="28"/>
          <w:szCs w:val="28"/>
          <w:highlight w:val="none"/>
          <w14:textFill>
            <w14:solidFill>
              <w14:schemeClr w14:val="tx1"/>
            </w14:solidFill>
          </w14:textFill>
        </w:rPr>
        <w:t>缺陷责任期</w:t>
      </w:r>
      <w:bookmarkEnd w:id="102"/>
    </w:p>
    <w:p w14:paraId="56F2446A">
      <w:pPr>
        <w:spacing w:line="600" w:lineRule="exact"/>
        <w:ind w:firstLine="560" w:firstLineChars="200"/>
        <w:jc w:val="left"/>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缺陷责任期的具体期限：</w:t>
      </w:r>
      <w:r>
        <w:rPr>
          <w:rFonts w:hint="eastAsia" w:ascii="仿宋_GB2312" w:hAnsi="仿宋_GB2312" w:eastAsia="仿宋_GB2312" w:cs="仿宋_GB2312"/>
          <w:color w:val="000000" w:themeColor="text1"/>
          <w:sz w:val="28"/>
          <w:szCs w:val="28"/>
          <w:highlight w:val="none"/>
          <w:u w:color="FF0000"/>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color="FF0000"/>
          <w:lang w:val="en-US" w:eastAsia="zh-CN"/>
          <w14:textFill>
            <w14:solidFill>
              <w14:schemeClr w14:val="tx1"/>
            </w14:solidFill>
          </w14:textFill>
        </w:rPr>
        <w:t>两年</w:t>
      </w:r>
      <w:r>
        <w:rPr>
          <w:rFonts w:hint="eastAsia" w:ascii="仿宋_GB2312" w:hAnsi="仿宋_GB2312" w:eastAsia="仿宋_GB2312" w:cs="仿宋_GB2312"/>
          <w:color w:val="000000" w:themeColor="text1"/>
          <w:sz w:val="28"/>
          <w:szCs w:val="28"/>
          <w:highlight w:val="none"/>
          <w:u w:color="FF0000"/>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p>
    <w:p w14:paraId="63C978F7">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1</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乙方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提供质量保证金的方式</w:t>
      </w:r>
    </w:p>
    <w:p w14:paraId="65A8E125">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质量保证金采用以下方式：</w:t>
      </w:r>
    </w:p>
    <w:p w14:paraId="60503645">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（1）质量保函，保证金额为：</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结算审定额的</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w:t>
      </w:r>
    </w:p>
    <w:bookmarkEnd w:id="103"/>
    <w:bookmarkEnd w:id="104"/>
    <w:p w14:paraId="08FCEE85">
      <w:pPr>
        <w:spacing w:before="0" w:after="0" w:line="600" w:lineRule="exact"/>
        <w:ind w:firstLine="562" w:firstLineChars="200"/>
        <w:outlineLvl w:val="2"/>
        <w:rPr>
          <w:rFonts w:hint="eastAsia" w:ascii="仿宋_GB2312" w:hAnsi="仿宋_GB2312" w:eastAsia="仿宋_GB2312" w:cs="仿宋_GB2312"/>
          <w:b/>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b/>
          <w:color w:val="000000" w:themeColor="text1"/>
          <w:sz w:val="28"/>
          <w:szCs w:val="28"/>
          <w:highlight w:val="none"/>
          <w:u w:val="none" w:color="auto"/>
          <w14:textFill>
            <w14:solidFill>
              <w14:schemeClr w14:val="tx1"/>
            </w14:solidFill>
          </w14:textFill>
        </w:rPr>
        <w:t>1</w:t>
      </w:r>
      <w:r>
        <w:rPr>
          <w:rFonts w:hint="eastAsia" w:ascii="仿宋_GB2312" w:hAnsi="仿宋_GB2312" w:eastAsia="仿宋_GB2312" w:cs="仿宋_GB2312"/>
          <w:b/>
          <w:color w:val="000000" w:themeColor="text1"/>
          <w:sz w:val="28"/>
          <w:szCs w:val="28"/>
          <w:highlight w:val="none"/>
          <w:u w:val="none" w:color="auto"/>
          <w:lang w:val="en-US" w:eastAsia="zh-CN"/>
          <w14:textFill>
            <w14:solidFill>
              <w14:schemeClr w14:val="tx1"/>
            </w14:solidFill>
          </w14:textFill>
        </w:rPr>
        <w:t>2</w:t>
      </w:r>
      <w:r>
        <w:rPr>
          <w:rFonts w:hint="eastAsia" w:ascii="仿宋_GB2312" w:hAnsi="仿宋_GB2312" w:eastAsia="仿宋_GB2312" w:cs="仿宋_GB2312"/>
          <w:b/>
          <w:color w:val="000000" w:themeColor="text1"/>
          <w:sz w:val="28"/>
          <w:szCs w:val="28"/>
          <w:highlight w:val="none"/>
          <w:u w:val="none" w:color="auto"/>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none" w:color="auto"/>
          <w:lang w:val="en-US" w:eastAsia="zh-CN"/>
          <w14:textFill>
            <w14:solidFill>
              <w14:schemeClr w14:val="tx1"/>
            </w14:solidFill>
          </w14:textFill>
        </w:rPr>
        <w:t>3</w:t>
      </w:r>
      <w:r>
        <w:rPr>
          <w:rFonts w:hint="eastAsia" w:ascii="仿宋_GB2312" w:hAnsi="仿宋_GB2312" w:eastAsia="仿宋_GB2312" w:cs="仿宋_GB2312"/>
          <w:b/>
          <w:color w:val="000000" w:themeColor="text1"/>
          <w:sz w:val="28"/>
          <w:szCs w:val="28"/>
          <w:highlight w:val="none"/>
          <w:u w:val="none" w:color="auto"/>
          <w14:textFill>
            <w14:solidFill>
              <w14:schemeClr w14:val="tx1"/>
            </w14:solidFill>
          </w14:textFill>
        </w:rPr>
        <w:t>保修</w:t>
      </w:r>
    </w:p>
    <w:bookmarkEnd w:id="105"/>
    <w:p w14:paraId="5562762A">
      <w:pPr>
        <w:spacing w:line="600" w:lineRule="exact"/>
        <w:ind w:firstLine="560" w:firstLineChars="200"/>
        <w:jc w:val="left"/>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1</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highlight w:val="none"/>
          <w14:textFill>
            <w14:solidFill>
              <w14:schemeClr w14:val="tx1"/>
            </w14:solidFill>
          </w14:textFill>
        </w:rPr>
        <w:t>.1 保修责任</w:t>
      </w:r>
    </w:p>
    <w:p w14:paraId="466ABF5A">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工程保修期为：【</w:t>
      </w: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验收</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后两年</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w:t>
      </w:r>
    </w:p>
    <w:p w14:paraId="11E82E5F">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1</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w:t>
      </w:r>
      <w:r>
        <w:rPr>
          <w:rFonts w:hint="eastAsia" w:ascii="仿宋_GB2312" w:hAnsi="仿宋_GB2312" w:eastAsia="仿宋_GB2312" w:cs="仿宋_GB2312"/>
          <w:color w:val="000000" w:themeColor="text1"/>
          <w:sz w:val="28"/>
          <w:szCs w:val="28"/>
          <w:highlight w:val="none"/>
          <w:u w:val="none" w:color="auto"/>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 xml:space="preserve"> 修复通知</w:t>
      </w:r>
    </w:p>
    <w:p w14:paraId="654BB5CF">
      <w:pPr>
        <w:spacing w:line="600" w:lineRule="exact"/>
        <w:ind w:firstLine="560" w:firstLineChars="200"/>
        <w:jc w:val="left"/>
        <w:rPr>
          <w:rFonts w:ascii="仿宋_GB2312" w:hAnsi="仿宋_GB2312" w:eastAsia="仿宋_GB2312" w:cs="仿宋_GB2312"/>
          <w:color w:val="000000" w:themeColor="text1"/>
          <w:sz w:val="28"/>
          <w:szCs w:val="28"/>
          <w:highlight w:val="none"/>
          <w:u w:val="none" w:color="auto"/>
          <w14:textFill>
            <w14:solidFill>
              <w14:schemeClr w14:val="tx1"/>
            </w14:solidFill>
          </w14:textFill>
        </w:rPr>
      </w:pPr>
      <w:r>
        <w:rPr>
          <w:rFonts w:hint="eastAsia" w:ascii="仿宋_GB2312" w:hAnsi="仿宋_GB2312" w:eastAsia="仿宋_GB2312" w:cs="仿宋_GB2312"/>
          <w:color w:val="000000" w:themeColor="text1"/>
          <w:sz w:val="28"/>
          <w:szCs w:val="28"/>
          <w:highlight w:val="none"/>
          <w:u w:val="none" w:color="auto"/>
          <w:lang w:eastAsia="zh-CN"/>
          <w14:textFill>
            <w14:solidFill>
              <w14:schemeClr w14:val="tx1"/>
            </w14:solidFill>
          </w14:textFill>
        </w:rPr>
        <w:t>乙方</w:t>
      </w:r>
      <w:r>
        <w:rPr>
          <w:rFonts w:hint="eastAsia" w:ascii="仿宋_GB2312" w:hAnsi="仿宋_GB2312" w:eastAsia="仿宋_GB2312" w:cs="仿宋_GB2312"/>
          <w:color w:val="000000" w:themeColor="text1"/>
          <w:sz w:val="28"/>
          <w:szCs w:val="28"/>
          <w:highlight w:val="none"/>
          <w:u w:val="none" w:color="auto"/>
          <w14:textFill>
            <w14:solidFill>
              <w14:schemeClr w14:val="tx1"/>
            </w14:solidFill>
          </w14:textFill>
        </w:rPr>
        <w:t>收到保修通知并到达工程现场的合理时间：【以收到书面保修通知为前提）】。</w:t>
      </w:r>
    </w:p>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14:paraId="48E704AA">
      <w:pPr>
        <w:pStyle w:val="3"/>
        <w:spacing w:before="0" w:after="0" w:line="600" w:lineRule="exact"/>
        <w:ind w:firstLine="562"/>
        <w:rPr>
          <w:rFonts w:hint="eastAsia" w:ascii="黑体" w:hAnsi="黑体" w:cs="黑体"/>
          <w:b w:val="0"/>
          <w:bCs/>
          <w:color w:val="000000" w:themeColor="text1"/>
          <w:szCs w:val="28"/>
          <w:highlight w:val="none"/>
          <w:u w:val="none" w:color="auto"/>
          <w14:textFill>
            <w14:solidFill>
              <w14:schemeClr w14:val="tx1"/>
            </w14:solidFill>
          </w14:textFill>
        </w:rPr>
      </w:pPr>
      <w:bookmarkStart w:id="132" w:name="_Toc17789"/>
      <w:bookmarkStart w:id="133" w:name="_Toc15802"/>
      <w:bookmarkStart w:id="134" w:name="_Toc351203651"/>
      <w:bookmarkStart w:id="135" w:name="_Toc9353"/>
      <w:bookmarkStart w:id="136" w:name="_Toc7577"/>
      <w:bookmarkStart w:id="137" w:name="_Toc1940"/>
      <w:r>
        <w:rPr>
          <w:rFonts w:hint="eastAsia" w:ascii="黑体" w:hAnsi="黑体" w:eastAsia="黑体" w:cs="黑体"/>
          <w:b w:val="0"/>
          <w:bCs/>
          <w:color w:val="000000" w:themeColor="text1"/>
          <w:szCs w:val="28"/>
          <w:highlight w:val="none"/>
          <w:u w:val="none" w:color="auto"/>
          <w:lang w:val="en-US" w:eastAsia="zh-CN"/>
          <w14:textFill>
            <w14:solidFill>
              <w14:schemeClr w14:val="tx1"/>
            </w14:solidFill>
          </w14:textFill>
        </w:rPr>
        <w:t>十三、</w:t>
      </w:r>
      <w:r>
        <w:rPr>
          <w:rFonts w:hint="eastAsia" w:ascii="黑体" w:hAnsi="黑体" w:cs="黑体"/>
          <w:b w:val="0"/>
          <w:bCs/>
          <w:color w:val="000000" w:themeColor="text1"/>
          <w:szCs w:val="28"/>
          <w:highlight w:val="none"/>
          <w:u w:val="none" w:color="auto"/>
          <w14:textFill>
            <w14:solidFill>
              <w14:schemeClr w14:val="tx1"/>
            </w14:solidFill>
          </w14:textFill>
        </w:rPr>
        <w:t>争议解决</w:t>
      </w:r>
      <w:bookmarkEnd w:id="132"/>
      <w:bookmarkEnd w:id="133"/>
      <w:bookmarkEnd w:id="134"/>
      <w:bookmarkEnd w:id="135"/>
      <w:bookmarkEnd w:id="136"/>
      <w:bookmarkEnd w:id="137"/>
    </w:p>
    <w:bookmarkEnd w:id="122"/>
    <w:bookmarkEnd w:id="123"/>
    <w:bookmarkEnd w:id="124"/>
    <w:p w14:paraId="1FF32B1C">
      <w:pPr>
        <w:spacing w:before="0" w:after="0" w:line="600" w:lineRule="exact"/>
        <w:ind w:firstLine="562" w:firstLineChars="200"/>
        <w:outlineLvl w:val="2"/>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13.</w:t>
      </w:r>
      <w:r>
        <w:rPr>
          <w:rFonts w:hint="eastAsia" w:ascii="仿宋_GB2312" w:hAnsi="仿宋_GB2312" w:eastAsia="仿宋_GB2312" w:cs="仿宋_GB2312"/>
          <w:b/>
          <w:color w:val="000000" w:themeColor="text1"/>
          <w:sz w:val="28"/>
          <w:szCs w:val="28"/>
          <w:highlight w:val="none"/>
          <w14:textFill>
            <w14:solidFill>
              <w14:schemeClr w14:val="tx1"/>
            </w14:solidFill>
          </w14:textFill>
        </w:rPr>
        <w:t>仲裁或诉讼</w:t>
      </w:r>
      <w:bookmarkEnd w:id="125"/>
      <w:bookmarkEnd w:id="126"/>
      <w:bookmarkEnd w:id="127"/>
      <w:bookmarkEnd w:id="128"/>
      <w:bookmarkEnd w:id="129"/>
      <w:bookmarkEnd w:id="130"/>
      <w:bookmarkEnd w:id="131"/>
    </w:p>
    <w:p w14:paraId="69F9F899">
      <w:pPr>
        <w:spacing w:line="600" w:lineRule="exact"/>
        <w:ind w:firstLine="560" w:firstLineChars="200"/>
        <w:jc w:val="left"/>
        <w:rPr>
          <w:rFonts w:hint="eastAsia" w:ascii="仿宋_GB2312" w:hAnsi="仿宋_GB2312" w:eastAsia="仿宋_GB2312" w:cs="仿宋_GB2312"/>
          <w:b/>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本合同执行过程中发生争议或未尽事宜，双方应本着友好协商的原则解决。协商不成的，双方选择向【</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工程所在地</w:t>
      </w:r>
      <w:r>
        <w:rPr>
          <w:rFonts w:hint="eastAsia" w:ascii="仿宋_GB2312" w:hAnsi="仿宋_GB2312" w:eastAsia="仿宋_GB2312" w:cs="仿宋_GB2312"/>
          <w:color w:val="000000" w:themeColor="text1"/>
          <w:sz w:val="28"/>
          <w:szCs w:val="28"/>
          <w:highlight w:val="none"/>
          <w14:textFill>
            <w14:solidFill>
              <w14:schemeClr w14:val="tx1"/>
            </w14:solidFill>
          </w14:textFill>
        </w:rPr>
        <w:t>】人民法院提起诉讼。</w:t>
      </w:r>
    </w:p>
    <w:p w14:paraId="2780A833">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14:textFill>
            <w14:solidFill>
              <w14:schemeClr w14:val="tx1"/>
            </w14:solidFill>
          </w14:textFill>
        </w:rPr>
        <w:t>本协议书中词语含义与第二部分通用合同条款中赋予的含义相同。</w:t>
      </w:r>
      <w:bookmarkStart w:id="138" w:name="_Toc351203491"/>
    </w:p>
    <w:p w14:paraId="3C3C1C23">
      <w:pPr>
        <w:spacing w:before="0" w:after="0" w:line="600" w:lineRule="exact"/>
        <w:ind w:firstLine="560" w:firstLineChars="200"/>
        <w:outlineLvl w:val="1"/>
        <w:rPr>
          <w:rFonts w:hint="eastAsia" w:ascii="黑体" w:hAnsi="黑体" w:eastAsia="黑体" w:cs="黑体"/>
          <w:b w:val="0"/>
          <w:bCs/>
          <w:color w:val="000000" w:themeColor="text1"/>
          <w:sz w:val="28"/>
          <w:szCs w:val="28"/>
          <w:highlight w:val="none"/>
          <w14:textFill>
            <w14:solidFill>
              <w14:schemeClr w14:val="tx1"/>
            </w14:solidFill>
          </w14:textFill>
        </w:rPr>
      </w:pPr>
      <w:bookmarkStart w:id="139" w:name="_Toc12689"/>
      <w:bookmarkStart w:id="140" w:name="_Toc6856"/>
      <w:bookmarkStart w:id="141" w:name="_Toc25994"/>
      <w:bookmarkStart w:id="142" w:name="_Toc351203489"/>
      <w:bookmarkStart w:id="143" w:name="_Toc23852"/>
      <w:bookmarkStart w:id="144" w:name="_Toc9521"/>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t>十四</w:t>
      </w:r>
      <w:r>
        <w:rPr>
          <w:rFonts w:hint="eastAsia" w:ascii="黑体" w:hAnsi="黑体" w:eastAsia="黑体" w:cs="黑体"/>
          <w:b w:val="0"/>
          <w:bCs/>
          <w:color w:val="000000" w:themeColor="text1"/>
          <w:sz w:val="28"/>
          <w:szCs w:val="28"/>
          <w:highlight w:val="none"/>
          <w14:textFill>
            <w14:solidFill>
              <w14:schemeClr w14:val="tx1"/>
            </w14:solidFill>
          </w14:textFill>
        </w:rPr>
        <w:t>、签订时间</w:t>
      </w:r>
      <w:bookmarkEnd w:id="139"/>
      <w:bookmarkEnd w:id="140"/>
      <w:bookmarkEnd w:id="141"/>
      <w:bookmarkEnd w:id="142"/>
      <w:bookmarkEnd w:id="143"/>
      <w:bookmarkEnd w:id="144"/>
    </w:p>
    <w:p w14:paraId="4340FD18">
      <w:pPr>
        <w:spacing w:line="600" w:lineRule="exact"/>
        <w:ind w:firstLine="560" w:firstLineChars="200"/>
        <w:rPr>
          <w:rFonts w:ascii="仿宋_GB2312" w:hAnsi="仿宋_GB2312" w:eastAsia="仿宋_GB2312" w:cs="仿宋_GB2312"/>
          <w:bCs/>
          <w:color w:val="000000" w:themeColor="text1"/>
          <w:sz w:val="28"/>
          <w:szCs w:val="28"/>
          <w:highlight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14:textFill>
            <w14:solidFill>
              <w14:schemeClr w14:val="tx1"/>
            </w14:solidFill>
          </w14:textFill>
        </w:rPr>
        <w:t>本合同于</w:t>
      </w:r>
      <w:r>
        <w:rPr>
          <w:rFonts w:hint="eastAsia" w:ascii="仿宋_GB2312" w:hAnsi="仿宋_GB2312" w:eastAsia="仿宋_GB2312" w:cs="仿宋_GB2312"/>
          <w:b/>
          <w:color w:val="000000" w:themeColor="text1"/>
          <w:sz w:val="28"/>
          <w:szCs w:val="28"/>
          <w:highlight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single"/>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年</w:t>
      </w:r>
      <w:r>
        <w:rPr>
          <w:rFonts w:hint="eastAsia" w:ascii="仿宋_GB2312" w:hAnsi="仿宋_GB2312" w:eastAsia="仿宋_GB2312" w:cs="仿宋_GB2312"/>
          <w:b/>
          <w:color w:val="000000" w:themeColor="text1"/>
          <w:sz w:val="28"/>
          <w:szCs w:val="28"/>
          <w:highlight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single"/>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月</w:t>
      </w:r>
      <w:r>
        <w:rPr>
          <w:rFonts w:hint="eastAsia" w:ascii="仿宋_GB2312" w:hAnsi="仿宋_GB2312" w:eastAsia="仿宋_GB2312" w:cs="仿宋_GB2312"/>
          <w:b/>
          <w:color w:val="000000" w:themeColor="text1"/>
          <w:sz w:val="28"/>
          <w:szCs w:val="28"/>
          <w:highlight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u w:val="single"/>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日</w:t>
      </w:r>
      <w:r>
        <w:rPr>
          <w:rFonts w:hint="eastAsia" w:ascii="仿宋_GB2312" w:hAnsi="仿宋_GB2312" w:eastAsia="仿宋_GB2312" w:cs="仿宋_GB2312"/>
          <w:bCs/>
          <w:color w:val="000000" w:themeColor="text1"/>
          <w:sz w:val="28"/>
          <w:szCs w:val="28"/>
          <w:highlight w:val="none"/>
          <w14:textFill>
            <w14:solidFill>
              <w14:schemeClr w14:val="tx1"/>
            </w14:solidFill>
          </w14:textFill>
        </w:rPr>
        <w:t>签订。</w:t>
      </w:r>
    </w:p>
    <w:p w14:paraId="63E71CC4">
      <w:pPr>
        <w:spacing w:before="0" w:after="0" w:line="600" w:lineRule="exact"/>
        <w:ind w:firstLine="560" w:firstLineChars="200"/>
        <w:outlineLvl w:val="1"/>
        <w:rPr>
          <w:rFonts w:hint="eastAsia" w:ascii="黑体" w:hAnsi="黑体" w:eastAsia="黑体" w:cs="黑体"/>
          <w:b w:val="0"/>
          <w:bCs/>
          <w:color w:val="000000" w:themeColor="text1"/>
          <w:sz w:val="28"/>
          <w:szCs w:val="28"/>
          <w:highlight w:val="none"/>
          <w:lang w:eastAsia="zh-CN"/>
          <w14:textFill>
            <w14:solidFill>
              <w14:schemeClr w14:val="tx1"/>
            </w14:solidFill>
          </w14:textFill>
        </w:rPr>
      </w:pPr>
      <w:bookmarkStart w:id="145" w:name="_Toc351203490"/>
      <w:bookmarkStart w:id="146" w:name="_Toc8812"/>
      <w:bookmarkStart w:id="147" w:name="_Toc24841"/>
      <w:bookmarkStart w:id="148" w:name="_Toc32462"/>
      <w:bookmarkStart w:id="149" w:name="_Toc32019"/>
      <w:bookmarkStart w:id="150" w:name="_Toc4571"/>
      <w:r>
        <w:rPr>
          <w:rFonts w:hint="eastAsia" w:ascii="黑体" w:hAnsi="黑体" w:eastAsia="黑体" w:cs="黑体"/>
          <w:b w:val="0"/>
          <w:bCs/>
          <w:color w:val="000000" w:themeColor="text1"/>
          <w:sz w:val="28"/>
          <w:szCs w:val="28"/>
          <w:highlight w:val="none"/>
          <w:lang w:eastAsia="zh-CN"/>
          <w14:textFill>
            <w14:solidFill>
              <w14:schemeClr w14:val="tx1"/>
            </w14:solidFill>
          </w14:textFill>
        </w:rPr>
        <w:t>十</w:t>
      </w:r>
      <w:r>
        <w:rPr>
          <w:rFonts w:hint="eastAsia" w:ascii="黑体" w:hAnsi="黑体" w:eastAsia="黑体" w:cs="黑体"/>
          <w:b w:val="0"/>
          <w:bCs/>
          <w:color w:val="000000" w:themeColor="text1"/>
          <w:sz w:val="28"/>
          <w:szCs w:val="28"/>
          <w:highlight w:val="none"/>
          <w:lang w:val="en-US" w:eastAsia="zh-CN"/>
          <w14:textFill>
            <w14:solidFill>
              <w14:schemeClr w14:val="tx1"/>
            </w14:solidFill>
          </w14:textFill>
        </w:rPr>
        <w:t>五</w:t>
      </w:r>
      <w:r>
        <w:rPr>
          <w:rFonts w:hint="eastAsia" w:ascii="黑体" w:hAnsi="黑体" w:eastAsia="黑体" w:cs="黑体"/>
          <w:b w:val="0"/>
          <w:bCs/>
          <w:color w:val="000000" w:themeColor="text1"/>
          <w:sz w:val="28"/>
          <w:szCs w:val="28"/>
          <w:highlight w:val="none"/>
          <w:lang w:eastAsia="zh-CN"/>
          <w14:textFill>
            <w14:solidFill>
              <w14:schemeClr w14:val="tx1"/>
            </w14:solidFill>
          </w14:textFill>
        </w:rPr>
        <w:t>、签订地点</w:t>
      </w:r>
      <w:bookmarkEnd w:id="145"/>
      <w:bookmarkEnd w:id="146"/>
      <w:bookmarkEnd w:id="147"/>
      <w:bookmarkEnd w:id="148"/>
      <w:bookmarkEnd w:id="149"/>
      <w:bookmarkEnd w:id="150"/>
    </w:p>
    <w:p w14:paraId="0674288F">
      <w:pPr>
        <w:spacing w:line="600" w:lineRule="exact"/>
        <w:ind w:firstLine="560" w:firstLineChars="200"/>
        <w:rPr>
          <w:rFonts w:ascii="仿宋_GB2312" w:hAnsi="仿宋_GB2312" w:eastAsia="仿宋_GB2312" w:cs="仿宋_GB2312"/>
          <w:bCs/>
          <w:color w:val="000000" w:themeColor="text1"/>
          <w:sz w:val="28"/>
          <w:szCs w:val="28"/>
          <w:highlight w:val="none"/>
          <w:u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本合同在</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bCs/>
          <w:color w:val="000000" w:themeColor="text1"/>
          <w:sz w:val="28"/>
          <w:szCs w:val="28"/>
          <w:highlight w:val="none"/>
          <w:u w:val="none"/>
          <w:lang w:eastAsia="zh-CN"/>
          <w14:textFill>
            <w14:solidFill>
              <w14:schemeClr w14:val="tx1"/>
            </w14:solidFill>
          </w14:textFill>
        </w:rPr>
        <w:t>长沙市望城区</w:t>
      </w: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雷锋街道正兴路 42 号湖南雷锋纪念馆</w:t>
      </w:r>
      <w:r>
        <w:rPr>
          <w:rFonts w:hint="eastAsia" w:ascii="仿宋_GB2312" w:hAnsi="仿宋_GB2312" w:eastAsia="仿宋_GB2312" w:cs="仿宋_GB2312"/>
          <w:b/>
          <w:color w:val="000000" w:themeColor="text1"/>
          <w:sz w:val="28"/>
          <w:szCs w:val="28"/>
          <w:highlight w:val="none"/>
          <w:u w:val="none"/>
          <w14:textFill>
            <w14:solidFill>
              <w14:schemeClr w14:val="tx1"/>
            </w14:solidFill>
          </w14:textFill>
        </w:rPr>
        <w:t>】</w:t>
      </w: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签订。</w:t>
      </w:r>
    </w:p>
    <w:p w14:paraId="5DCEEDF7">
      <w:pPr>
        <w:spacing w:before="0" w:after="0" w:line="600" w:lineRule="exact"/>
        <w:ind w:firstLine="560" w:firstLineChars="200"/>
        <w:outlineLvl w:val="1"/>
        <w:rPr>
          <w:rFonts w:hint="eastAsia" w:ascii="黑体" w:hAnsi="黑体" w:eastAsia="黑体" w:cs="黑体"/>
          <w:b w:val="0"/>
          <w:bCs/>
          <w:color w:val="000000" w:themeColor="text1"/>
          <w:sz w:val="28"/>
          <w:szCs w:val="28"/>
          <w:highlight w:val="none"/>
          <w:u w:val="none"/>
          <w:lang w:eastAsia="zh-CN"/>
          <w14:textFill>
            <w14:solidFill>
              <w14:schemeClr w14:val="tx1"/>
            </w14:solidFill>
          </w14:textFill>
        </w:rPr>
      </w:pPr>
      <w:bookmarkStart w:id="151" w:name="_Toc1065"/>
      <w:bookmarkStart w:id="152" w:name="_Toc21837"/>
      <w:bookmarkStart w:id="153" w:name="_Toc15721"/>
      <w:bookmarkStart w:id="154" w:name="_Toc13384"/>
      <w:bookmarkStart w:id="155" w:name="_Toc27970"/>
      <w:r>
        <w:rPr>
          <w:rFonts w:hint="eastAsia" w:ascii="黑体" w:hAnsi="黑体" w:eastAsia="黑体" w:cs="黑体"/>
          <w:b w:val="0"/>
          <w:bCs/>
          <w:color w:val="000000" w:themeColor="text1"/>
          <w:sz w:val="28"/>
          <w:szCs w:val="28"/>
          <w:highlight w:val="none"/>
          <w:u w:val="none"/>
          <w:lang w:eastAsia="zh-CN"/>
          <w14:textFill>
            <w14:solidFill>
              <w14:schemeClr w14:val="tx1"/>
            </w14:solidFill>
          </w14:textFill>
        </w:rPr>
        <w:t>十</w:t>
      </w:r>
      <w:r>
        <w:rPr>
          <w:rFonts w:hint="eastAsia" w:ascii="黑体" w:hAnsi="黑体" w:eastAsia="黑体" w:cs="黑体"/>
          <w:b w:val="0"/>
          <w:bCs/>
          <w:color w:val="000000" w:themeColor="text1"/>
          <w:sz w:val="28"/>
          <w:szCs w:val="28"/>
          <w:highlight w:val="none"/>
          <w:u w:val="none"/>
          <w:lang w:val="en-US" w:eastAsia="zh-CN"/>
          <w14:textFill>
            <w14:solidFill>
              <w14:schemeClr w14:val="tx1"/>
            </w14:solidFill>
          </w14:textFill>
        </w:rPr>
        <w:t>六</w:t>
      </w:r>
      <w:r>
        <w:rPr>
          <w:rFonts w:hint="eastAsia" w:ascii="黑体" w:hAnsi="黑体" w:eastAsia="黑体" w:cs="黑体"/>
          <w:b w:val="0"/>
          <w:bCs/>
          <w:color w:val="000000" w:themeColor="text1"/>
          <w:sz w:val="28"/>
          <w:szCs w:val="28"/>
          <w:highlight w:val="none"/>
          <w:u w:val="none"/>
          <w:lang w:eastAsia="zh-CN"/>
          <w14:textFill>
            <w14:solidFill>
              <w14:schemeClr w14:val="tx1"/>
            </w14:solidFill>
          </w14:textFill>
        </w:rPr>
        <w:t>、补充协议</w:t>
      </w:r>
      <w:bookmarkEnd w:id="138"/>
      <w:bookmarkEnd w:id="151"/>
      <w:bookmarkEnd w:id="152"/>
      <w:bookmarkEnd w:id="153"/>
      <w:bookmarkEnd w:id="154"/>
      <w:bookmarkEnd w:id="155"/>
    </w:p>
    <w:p w14:paraId="54ECDBCF">
      <w:pPr>
        <w:spacing w:line="600" w:lineRule="exact"/>
        <w:ind w:firstLine="560" w:firstLineChars="200"/>
        <w:rPr>
          <w:rFonts w:ascii="仿宋_GB2312" w:hAnsi="仿宋_GB2312" w:eastAsia="仿宋_GB2312" w:cs="仿宋_GB2312"/>
          <w:bCs/>
          <w:color w:val="000000" w:themeColor="text1"/>
          <w:sz w:val="28"/>
          <w:szCs w:val="28"/>
          <w:highlight w:val="none"/>
          <w:u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合同未尽事宜，合同当事人另行签订补充协议，补充协议是合同的组成部分。</w:t>
      </w:r>
    </w:p>
    <w:p w14:paraId="3BA29995">
      <w:pPr>
        <w:spacing w:before="0" w:after="0" w:line="600" w:lineRule="exact"/>
        <w:ind w:firstLine="560" w:firstLineChars="200"/>
        <w:outlineLvl w:val="1"/>
        <w:rPr>
          <w:rFonts w:hint="eastAsia" w:ascii="黑体" w:hAnsi="黑体" w:eastAsia="黑体" w:cs="黑体"/>
          <w:b w:val="0"/>
          <w:bCs/>
          <w:color w:val="000000" w:themeColor="text1"/>
          <w:sz w:val="28"/>
          <w:szCs w:val="28"/>
          <w:highlight w:val="none"/>
          <w:u w:val="none"/>
          <w:lang w:eastAsia="zh-CN"/>
          <w14:textFill>
            <w14:solidFill>
              <w14:schemeClr w14:val="tx1"/>
            </w14:solidFill>
          </w14:textFill>
        </w:rPr>
      </w:pPr>
      <w:bookmarkStart w:id="156" w:name="_Toc22720"/>
      <w:bookmarkStart w:id="157" w:name="_Toc28903"/>
      <w:bookmarkStart w:id="158" w:name="_Toc14963"/>
      <w:bookmarkStart w:id="159" w:name="_Toc2341"/>
      <w:bookmarkStart w:id="160" w:name="_Toc351203492"/>
      <w:bookmarkStart w:id="161" w:name="_Toc9154"/>
      <w:r>
        <w:rPr>
          <w:rFonts w:hint="eastAsia" w:ascii="黑体" w:hAnsi="黑体" w:eastAsia="黑体" w:cs="黑体"/>
          <w:b w:val="0"/>
          <w:bCs/>
          <w:color w:val="000000" w:themeColor="text1"/>
          <w:sz w:val="28"/>
          <w:szCs w:val="28"/>
          <w:highlight w:val="none"/>
          <w:u w:val="none"/>
          <w:lang w:eastAsia="zh-CN"/>
          <w14:textFill>
            <w14:solidFill>
              <w14:schemeClr w14:val="tx1"/>
            </w14:solidFill>
          </w14:textFill>
        </w:rPr>
        <w:t>十</w:t>
      </w:r>
      <w:r>
        <w:rPr>
          <w:rFonts w:hint="eastAsia" w:ascii="黑体" w:hAnsi="黑体" w:eastAsia="黑体" w:cs="黑体"/>
          <w:b w:val="0"/>
          <w:bCs/>
          <w:color w:val="000000" w:themeColor="text1"/>
          <w:sz w:val="28"/>
          <w:szCs w:val="28"/>
          <w:highlight w:val="none"/>
          <w:u w:val="none"/>
          <w:lang w:val="en-US" w:eastAsia="zh-CN"/>
          <w14:textFill>
            <w14:solidFill>
              <w14:schemeClr w14:val="tx1"/>
            </w14:solidFill>
          </w14:textFill>
        </w:rPr>
        <w:t>七</w:t>
      </w:r>
      <w:r>
        <w:rPr>
          <w:rFonts w:hint="eastAsia" w:ascii="黑体" w:hAnsi="黑体" w:eastAsia="黑体" w:cs="黑体"/>
          <w:b w:val="0"/>
          <w:bCs/>
          <w:color w:val="000000" w:themeColor="text1"/>
          <w:sz w:val="28"/>
          <w:szCs w:val="28"/>
          <w:highlight w:val="none"/>
          <w:u w:val="none"/>
          <w:lang w:eastAsia="zh-CN"/>
          <w14:textFill>
            <w14:solidFill>
              <w14:schemeClr w14:val="tx1"/>
            </w14:solidFill>
          </w14:textFill>
        </w:rPr>
        <w:t>、合同生效</w:t>
      </w:r>
      <w:bookmarkEnd w:id="156"/>
      <w:bookmarkEnd w:id="157"/>
      <w:bookmarkEnd w:id="158"/>
      <w:bookmarkEnd w:id="159"/>
      <w:bookmarkEnd w:id="160"/>
      <w:bookmarkEnd w:id="161"/>
    </w:p>
    <w:p w14:paraId="3B1DC17C">
      <w:pPr>
        <w:spacing w:line="600" w:lineRule="exact"/>
        <w:ind w:firstLine="560" w:firstLineChars="200"/>
        <w:rPr>
          <w:rFonts w:ascii="仿宋_GB2312" w:hAnsi="仿宋_GB2312" w:eastAsia="仿宋_GB2312" w:cs="仿宋_GB2312"/>
          <w:bCs/>
          <w:color w:val="000000" w:themeColor="text1"/>
          <w:sz w:val="28"/>
          <w:szCs w:val="28"/>
          <w:highlight w:val="none"/>
          <w:u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本合同自</w:t>
      </w:r>
      <w:r>
        <w:rPr>
          <w:rFonts w:hint="eastAsia" w:ascii="仿宋_GB2312" w:hAnsi="仿宋_GB2312" w:eastAsia="仿宋_GB2312" w:cs="仿宋_GB2312"/>
          <w:color w:val="000000" w:themeColor="text1"/>
          <w:sz w:val="28"/>
          <w:szCs w:val="28"/>
          <w:highlight w:val="none"/>
          <w:u w:val="none"/>
          <w14:textFill>
            <w14:solidFill>
              <w14:schemeClr w14:val="tx1"/>
            </w14:solidFill>
          </w14:textFill>
        </w:rPr>
        <w:t>双方法定代表人或授权代表签字（或签章）并加盖公章或合同专用章之日起生效</w:t>
      </w: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w:t>
      </w:r>
    </w:p>
    <w:p w14:paraId="5EF19044">
      <w:pPr>
        <w:spacing w:before="0" w:after="0" w:line="600" w:lineRule="exact"/>
        <w:ind w:firstLine="560" w:firstLineChars="200"/>
        <w:outlineLvl w:val="1"/>
        <w:rPr>
          <w:rFonts w:hint="eastAsia" w:ascii="黑体" w:hAnsi="黑体" w:eastAsia="黑体" w:cs="黑体"/>
          <w:b w:val="0"/>
          <w:bCs/>
          <w:color w:val="000000" w:themeColor="text1"/>
          <w:sz w:val="28"/>
          <w:szCs w:val="28"/>
          <w:highlight w:val="none"/>
          <w:u w:val="none"/>
          <w:lang w:eastAsia="zh-CN"/>
          <w14:textFill>
            <w14:solidFill>
              <w14:schemeClr w14:val="tx1"/>
            </w14:solidFill>
          </w14:textFill>
        </w:rPr>
      </w:pPr>
      <w:bookmarkStart w:id="162" w:name="_Toc6978"/>
      <w:bookmarkStart w:id="163" w:name="_Toc11657"/>
      <w:bookmarkStart w:id="164" w:name="_Toc3319"/>
      <w:bookmarkStart w:id="165" w:name="_Toc351203493"/>
      <w:bookmarkStart w:id="166" w:name="_Toc29915"/>
      <w:bookmarkStart w:id="167" w:name="_Toc30858"/>
      <w:r>
        <w:rPr>
          <w:rFonts w:hint="eastAsia" w:ascii="黑体" w:hAnsi="黑体" w:eastAsia="黑体" w:cs="黑体"/>
          <w:b w:val="0"/>
          <w:bCs/>
          <w:color w:val="000000" w:themeColor="text1"/>
          <w:sz w:val="28"/>
          <w:szCs w:val="28"/>
          <w:highlight w:val="none"/>
          <w:u w:val="none"/>
          <w:lang w:eastAsia="zh-CN"/>
          <w14:textFill>
            <w14:solidFill>
              <w14:schemeClr w14:val="tx1"/>
            </w14:solidFill>
          </w14:textFill>
        </w:rPr>
        <w:t>十</w:t>
      </w:r>
      <w:r>
        <w:rPr>
          <w:rFonts w:hint="eastAsia" w:ascii="黑体" w:hAnsi="黑体" w:eastAsia="黑体" w:cs="黑体"/>
          <w:b w:val="0"/>
          <w:bCs/>
          <w:color w:val="000000" w:themeColor="text1"/>
          <w:sz w:val="28"/>
          <w:szCs w:val="28"/>
          <w:highlight w:val="none"/>
          <w:u w:val="none"/>
          <w:lang w:val="en-US" w:eastAsia="zh-CN"/>
          <w14:textFill>
            <w14:solidFill>
              <w14:schemeClr w14:val="tx1"/>
            </w14:solidFill>
          </w14:textFill>
        </w:rPr>
        <w:t>八</w:t>
      </w:r>
      <w:r>
        <w:rPr>
          <w:rFonts w:hint="eastAsia" w:ascii="黑体" w:hAnsi="黑体" w:eastAsia="黑体" w:cs="黑体"/>
          <w:b w:val="0"/>
          <w:bCs/>
          <w:color w:val="000000" w:themeColor="text1"/>
          <w:sz w:val="28"/>
          <w:szCs w:val="28"/>
          <w:highlight w:val="none"/>
          <w:u w:val="none"/>
          <w:lang w:eastAsia="zh-CN"/>
          <w14:textFill>
            <w14:solidFill>
              <w14:schemeClr w14:val="tx1"/>
            </w14:solidFill>
          </w14:textFill>
        </w:rPr>
        <w:t>、合同份数</w:t>
      </w:r>
      <w:bookmarkEnd w:id="162"/>
      <w:bookmarkEnd w:id="163"/>
      <w:bookmarkEnd w:id="164"/>
      <w:bookmarkEnd w:id="165"/>
      <w:bookmarkEnd w:id="166"/>
      <w:bookmarkEnd w:id="167"/>
    </w:p>
    <w:p w14:paraId="693CDFE4">
      <w:pPr>
        <w:spacing w:line="600" w:lineRule="exact"/>
        <w:ind w:firstLine="560" w:firstLineChars="200"/>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pP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本合同一式</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陆</w:t>
      </w: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份，均具有同等法律效力，</w:t>
      </w:r>
      <w:r>
        <w:rPr>
          <w:rFonts w:hint="eastAsia" w:ascii="仿宋_GB2312" w:hAnsi="仿宋_GB2312" w:eastAsia="仿宋_GB2312" w:cs="仿宋_GB2312"/>
          <w:bCs/>
          <w:color w:val="000000" w:themeColor="text1"/>
          <w:sz w:val="28"/>
          <w:szCs w:val="28"/>
          <w:highlight w:val="none"/>
          <w:u w:val="none"/>
          <w:lang w:eastAsia="zh-CN"/>
          <w14:textFill>
            <w14:solidFill>
              <w14:schemeClr w14:val="tx1"/>
            </w14:solidFill>
          </w14:textFill>
        </w:rPr>
        <w:t>甲方</w:t>
      </w: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执</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叁</w:t>
      </w: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份，</w:t>
      </w:r>
      <w:r>
        <w:rPr>
          <w:rFonts w:hint="eastAsia" w:ascii="仿宋_GB2312" w:hAnsi="仿宋_GB2312" w:eastAsia="仿宋_GB2312" w:cs="仿宋_GB2312"/>
          <w:bCs/>
          <w:color w:val="000000" w:themeColor="text1"/>
          <w:sz w:val="28"/>
          <w:szCs w:val="28"/>
          <w:highlight w:val="none"/>
          <w:u w:val="none"/>
          <w:lang w:eastAsia="zh-CN"/>
          <w14:textFill>
            <w14:solidFill>
              <w14:schemeClr w14:val="tx1"/>
            </w14:solidFill>
          </w14:textFill>
        </w:rPr>
        <w:t>乙方</w:t>
      </w: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执</w:t>
      </w:r>
      <w:r>
        <w:rPr>
          <w:rFonts w:hint="eastAsia" w:ascii="仿宋_GB2312" w:hAnsi="仿宋_GB2312" w:eastAsia="仿宋_GB2312" w:cs="仿宋_GB2312"/>
          <w:b/>
          <w:color w:val="000000" w:themeColor="text1"/>
          <w:sz w:val="28"/>
          <w:szCs w:val="28"/>
          <w:highlight w:val="none"/>
          <w:u w:val="none"/>
          <w:lang w:val="en-US" w:eastAsia="zh-CN"/>
          <w14:textFill>
            <w14:solidFill>
              <w14:schemeClr w14:val="tx1"/>
            </w14:solidFill>
          </w14:textFill>
        </w:rPr>
        <w:t>叁</w:t>
      </w:r>
      <w:r>
        <w:rPr>
          <w:rFonts w:hint="eastAsia" w:ascii="仿宋_GB2312" w:hAnsi="仿宋_GB2312" w:eastAsia="仿宋_GB2312" w:cs="仿宋_GB2312"/>
          <w:bCs/>
          <w:color w:val="000000" w:themeColor="text1"/>
          <w:sz w:val="28"/>
          <w:szCs w:val="28"/>
          <w:highlight w:val="none"/>
          <w:u w:val="none"/>
          <w14:textFill>
            <w14:solidFill>
              <w14:schemeClr w14:val="tx1"/>
            </w14:solidFill>
          </w14:textFill>
        </w:rPr>
        <w:t>份。</w:t>
      </w:r>
    </w:p>
    <w:p w14:paraId="4ED51734">
      <w:pPr>
        <w:pStyle w:val="6"/>
        <w:keepNext w:val="0"/>
        <w:keepLines w:val="0"/>
        <w:pageBreakBefore w:val="0"/>
        <w:widowControl w:val="0"/>
        <w:kinsoku/>
        <w:wordWrap/>
        <w:overflowPunct/>
        <w:topLinePunct w:val="0"/>
        <w:autoSpaceDE/>
        <w:autoSpaceDN/>
        <w:bidi w:val="0"/>
        <w:adjustRightInd/>
        <w:snapToGrid/>
        <w:spacing w:after="0" w:line="600" w:lineRule="exact"/>
        <w:jc w:val="left"/>
        <w:textAlignment w:val="auto"/>
        <w:rPr>
          <w:rFonts w:hint="eastAsia" w:ascii="仿宋_GB2312" w:hAnsi="仿宋_GB2312" w:eastAsia="仿宋_GB2312" w:cs="仿宋_GB2312"/>
          <w:b/>
          <w:bCs w:val="0"/>
          <w:color w:val="000000" w:themeColor="text1"/>
          <w:sz w:val="28"/>
          <w:szCs w:val="28"/>
          <w:highlight w:val="none"/>
          <w:lang w:eastAsia="zh-CN"/>
          <w14:textFill>
            <w14:solidFill>
              <w14:schemeClr w14:val="tx1"/>
            </w14:solidFill>
          </w14:textFill>
        </w:rPr>
      </w:pPr>
      <w:r>
        <w:rPr>
          <w:rFonts w:hint="eastAsia" w:ascii="仿宋_GB2312" w:hAnsi="仿宋_GB2312" w:eastAsia="仿宋_GB2312" w:cs="仿宋_GB2312"/>
          <w:b/>
          <w:bCs w:val="0"/>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b/>
          <w:bCs w:val="0"/>
          <w:color w:val="000000" w:themeColor="text1"/>
          <w:sz w:val="28"/>
          <w:szCs w:val="28"/>
          <w:highlight w:val="none"/>
          <w:lang w:val="en-US" w:eastAsia="zh-CN"/>
          <w14:textFill>
            <w14:solidFill>
              <w14:schemeClr w14:val="tx1"/>
            </w14:solidFill>
          </w14:textFill>
        </w:rPr>
        <w:t>以下无正文</w:t>
      </w:r>
      <w:r>
        <w:rPr>
          <w:rFonts w:hint="eastAsia" w:ascii="仿宋_GB2312" w:hAnsi="仿宋_GB2312" w:eastAsia="仿宋_GB2312" w:cs="仿宋_GB2312"/>
          <w:b/>
          <w:bCs w:val="0"/>
          <w:color w:val="000000" w:themeColor="text1"/>
          <w:sz w:val="28"/>
          <w:szCs w:val="28"/>
          <w:highlight w:val="none"/>
          <w:lang w:eastAsia="zh-CN"/>
          <w14:textFill>
            <w14:solidFill>
              <w14:schemeClr w14:val="tx1"/>
            </w14:solidFill>
          </w14:textFill>
        </w:rPr>
        <w:t>）</w:t>
      </w:r>
    </w:p>
    <w:p w14:paraId="4E68D57C">
      <w:pPr>
        <w:pStyle w:val="6"/>
        <w:spacing w:line="600" w:lineRule="exact"/>
        <w:rPr>
          <w:rFonts w:ascii="仿宋_GB2312" w:hAnsi="仿宋_GB2312" w:eastAsia="仿宋_GB2312" w:cs="仿宋_GB2312"/>
          <w:b/>
          <w:bCs/>
          <w:color w:val="000000" w:themeColor="text1"/>
          <w:sz w:val="28"/>
          <w:szCs w:val="28"/>
          <w:highlight w:val="none"/>
          <w14:textFill>
            <w14:solidFill>
              <w14:schemeClr w14:val="tx1"/>
            </w14:solidFill>
          </w14:textFill>
        </w:rPr>
      </w:pPr>
    </w:p>
    <w:p w14:paraId="69157B10">
      <w:pPr>
        <w:pStyle w:val="6"/>
        <w:spacing w:line="600" w:lineRule="exact"/>
        <w:rPr>
          <w:rFonts w:ascii="仿宋_GB2312" w:hAnsi="仿宋_GB2312" w:eastAsia="仿宋_GB2312" w:cs="仿宋_GB2312"/>
          <w:b/>
          <w:bCs/>
          <w:color w:val="000000" w:themeColor="text1"/>
          <w:sz w:val="28"/>
          <w:szCs w:val="28"/>
          <w:highlight w:val="none"/>
          <w14:textFill>
            <w14:solidFill>
              <w14:schemeClr w14:val="tx1"/>
            </w14:solidFill>
          </w14:textFill>
        </w:rPr>
      </w:pPr>
    </w:p>
    <w:p w14:paraId="6A10597C">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b/>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甲方</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 xml:space="preserve"> 乙方</w:t>
      </w:r>
      <w: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t>：</w:t>
      </w:r>
    </w:p>
    <w:p w14:paraId="0831892B">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b/>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法定代表人或</w:t>
      </w:r>
      <w:r>
        <w:rPr>
          <w:rFonts w:hint="eastAsia" w:ascii="仿宋_GB2312" w:hAnsi="仿宋_GB2312" w:eastAsia="仿宋_GB2312" w:cs="仿宋_GB2312"/>
          <w:color w:val="000000" w:themeColor="text1"/>
          <w:sz w:val="28"/>
          <w:szCs w:val="28"/>
          <w:highlight w:val="none"/>
          <w14:textFill>
            <w14:solidFill>
              <w14:schemeClr w14:val="tx1"/>
            </w14:solidFill>
          </w14:textFill>
        </w:rPr>
        <w:t>委托代理人：</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法定代表人或</w:t>
      </w:r>
      <w:r>
        <w:rPr>
          <w:rFonts w:hint="eastAsia" w:ascii="仿宋_GB2312" w:hAnsi="仿宋_GB2312" w:eastAsia="仿宋_GB2312" w:cs="仿宋_GB2312"/>
          <w:color w:val="000000" w:themeColor="text1"/>
          <w:sz w:val="28"/>
          <w:szCs w:val="28"/>
          <w:highlight w:val="none"/>
          <w14:textFill>
            <w14:solidFill>
              <w14:schemeClr w14:val="tx1"/>
            </w14:solidFill>
          </w14:textFill>
        </w:rPr>
        <w:t>委托代理人：</w:t>
      </w:r>
    </w:p>
    <w:p w14:paraId="58AF6598">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color w:val="000000" w:themeColor="text1"/>
          <w:sz w:val="28"/>
          <w:szCs w:val="28"/>
          <w:highlight w:val="none"/>
          <w:lang w:val="en-US"/>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地  址：</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14:textFill>
            <w14:solidFill>
              <w14:schemeClr w14:val="tx1"/>
            </w14:solidFill>
          </w14:textFill>
        </w:rPr>
        <w:t>地  址：</w:t>
      </w:r>
    </w:p>
    <w:p w14:paraId="6866C987">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b/>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电  话：</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14:textFill>
            <w14:solidFill>
              <w14:schemeClr w14:val="tx1"/>
            </w14:solidFill>
          </w14:textFill>
        </w:rPr>
        <w:t>电  话：</w:t>
      </w:r>
    </w:p>
    <w:p w14:paraId="0C50EB97">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color w:val="000000" w:themeColor="text1"/>
          <w:sz w:val="28"/>
          <w:szCs w:val="28"/>
          <w:highlight w:val="none"/>
          <w14:textFill>
            <w14:solidFill>
              <w14:schemeClr w14:val="tx1"/>
            </w14:solidFill>
          </w14:textFill>
        </w:rPr>
        <w:t>电子信箱：</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 xml:space="preserve">                   </w:t>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ab/>
      </w:r>
      <w:r>
        <w:rPr>
          <w:rFonts w:hint="eastAsia" w:ascii="仿宋_GB2312" w:hAnsi="仿宋_GB2312" w:eastAsia="仿宋_GB2312" w:cs="仿宋_GB2312"/>
          <w:b/>
          <w:color w:val="000000" w:themeColor="text1"/>
          <w:sz w:val="28"/>
          <w:szCs w:val="28"/>
          <w:highlight w:val="non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highlight w:val="none"/>
          <w14:textFill>
            <w14:solidFill>
              <w14:schemeClr w14:val="tx1"/>
            </w14:solidFill>
          </w14:textFill>
        </w:rPr>
        <w:t>电子信箱：</w:t>
      </w:r>
    </w:p>
    <w:p w14:paraId="71157D3B">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b/>
          <w:color w:val="000000" w:themeColor="text1"/>
          <w:sz w:val="28"/>
          <w:szCs w:val="28"/>
          <w:highlight w:val="none"/>
          <w:lang w:val="en-US" w:eastAsia="zh-CN"/>
          <w14:textFill>
            <w14:solidFill>
              <w14:schemeClr w14:val="tx1"/>
            </w14:solidFill>
          </w14:textFill>
        </w:rPr>
      </w:pPr>
    </w:p>
    <w:sectPr>
      <w:headerReference r:id="rId6" w:type="default"/>
      <w:footerReference r:id="rId7" w:type="default"/>
      <w:pgSz w:w="11906" w:h="16839"/>
      <w:pgMar w:top="2098" w:right="1474" w:bottom="1984" w:left="1587"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2586B">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FC2087">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FC2087">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p w14:paraId="461A0AF5">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722A7">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62587">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M2ZjM2EzZGUyZTQ2MjI1ODRmZTM2YTRkZmExZTcwODcifQ=="/>
  </w:docVars>
  <w:rsids>
    <w:rsidRoot w:val="00000000"/>
    <w:rsid w:val="010D516A"/>
    <w:rsid w:val="06332B2C"/>
    <w:rsid w:val="067E7EFC"/>
    <w:rsid w:val="0B1656BD"/>
    <w:rsid w:val="0B2F4AE8"/>
    <w:rsid w:val="0E8023AE"/>
    <w:rsid w:val="15C62992"/>
    <w:rsid w:val="18B6499D"/>
    <w:rsid w:val="20840262"/>
    <w:rsid w:val="246F411E"/>
    <w:rsid w:val="2CDD2302"/>
    <w:rsid w:val="36516BD9"/>
    <w:rsid w:val="39065EED"/>
    <w:rsid w:val="3E3328CE"/>
    <w:rsid w:val="403136F4"/>
    <w:rsid w:val="4101555F"/>
    <w:rsid w:val="474865D8"/>
    <w:rsid w:val="487962FE"/>
    <w:rsid w:val="4A343EBD"/>
    <w:rsid w:val="4CDB539C"/>
    <w:rsid w:val="501C0417"/>
    <w:rsid w:val="519904B3"/>
    <w:rsid w:val="55EA2593"/>
    <w:rsid w:val="5D0C52B1"/>
    <w:rsid w:val="5D755D04"/>
    <w:rsid w:val="5D8D060E"/>
    <w:rsid w:val="63085CE3"/>
    <w:rsid w:val="73852F23"/>
    <w:rsid w:val="75E57DC1"/>
    <w:rsid w:val="767550B9"/>
    <w:rsid w:val="791E6AF1"/>
    <w:rsid w:val="7DF925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2"/>
    <w:basedOn w:val="1"/>
    <w:next w:val="1"/>
    <w:autoRedefine/>
    <w:qFormat/>
    <w:uiPriority w:val="0"/>
    <w:pPr>
      <w:keepNext/>
      <w:keepLines/>
      <w:spacing w:before="120" w:after="120" w:line="480" w:lineRule="exact"/>
      <w:ind w:firstLine="422" w:firstLineChars="200"/>
      <w:outlineLvl w:val="1"/>
    </w:pPr>
    <w:rPr>
      <w:rFonts w:ascii="Cambria" w:hAnsi="Cambria" w:eastAsia="黑体" w:cs="Times New Roman"/>
      <w:b/>
      <w:bCs/>
      <w:sz w:val="28"/>
      <w:szCs w:val="32"/>
    </w:rPr>
  </w:style>
  <w:style w:type="paragraph" w:styleId="4">
    <w:name w:val="heading 4"/>
    <w:basedOn w:val="1"/>
    <w:next w:val="1"/>
    <w:autoRedefine/>
    <w:qFormat/>
    <w:uiPriority w:val="0"/>
    <w:pPr>
      <w:keepNext/>
      <w:keepLines/>
      <w:spacing w:before="120" w:after="120" w:line="480" w:lineRule="exact"/>
      <w:ind w:left="200" w:leftChars="200"/>
      <w:jc w:val="left"/>
      <w:outlineLvl w:val="3"/>
    </w:pPr>
    <w:rPr>
      <w:rFonts w:ascii="Times New Roman" w:hAnsi="Times New Roman" w:eastAsia="黑体"/>
      <w:b/>
      <w:bCs/>
      <w:sz w:val="28"/>
      <w:szCs w:val="28"/>
    </w:rPr>
  </w:style>
  <w:style w:type="character" w:default="1" w:styleId="10">
    <w:name w:val="Default Paragraph Font"/>
    <w:autoRedefine/>
    <w:qFormat/>
    <w:uiPriority w:val="0"/>
  </w:style>
  <w:style w:type="table" w:default="1" w:styleId="9">
    <w:name w:val="Normal Table"/>
    <w:qFormat/>
    <w:uiPriority w:val="0"/>
    <w:tblPr>
      <w:tblCellMar>
        <w:top w:w="0" w:type="dxa"/>
        <w:left w:w="108" w:type="dxa"/>
        <w:bottom w:w="0" w:type="dxa"/>
        <w:right w:w="108" w:type="dxa"/>
      </w:tblCellMar>
    </w:tblPr>
  </w:style>
  <w:style w:type="paragraph" w:customStyle="1" w:styleId="2">
    <w:name w:val="p0"/>
    <w:basedOn w:val="1"/>
    <w:qFormat/>
    <w:uiPriority w:val="0"/>
    <w:pPr>
      <w:widowControl/>
    </w:pPr>
    <w:rPr>
      <w:rFonts w:ascii="Calibri" w:hAnsi="Calibri"/>
      <w:szCs w:val="21"/>
    </w:rPr>
  </w:style>
  <w:style w:type="paragraph" w:styleId="5">
    <w:name w:val="annotation text"/>
    <w:basedOn w:val="1"/>
    <w:qFormat/>
    <w:uiPriority w:val="0"/>
    <w:pPr>
      <w:jc w:val="left"/>
    </w:pPr>
  </w:style>
  <w:style w:type="paragraph" w:styleId="6">
    <w:name w:val="Body Text"/>
    <w:basedOn w:val="1"/>
    <w:qFormat/>
    <w:uiPriority w:val="0"/>
    <w:rPr>
      <w:rFonts w:ascii="微软雅黑" w:hAnsi="微软雅黑" w:eastAsia="微软雅黑" w:cs="微软雅黑"/>
      <w:sz w:val="31"/>
      <w:szCs w:val="31"/>
      <w:lang w:val="en-US" w:eastAsia="en-US" w:bidi="ar-SA"/>
    </w:rPr>
  </w:style>
  <w:style w:type="paragraph" w:styleId="7">
    <w:name w:val="Plain Text"/>
    <w:basedOn w:val="1"/>
    <w:qFormat/>
    <w:uiPriority w:val="0"/>
    <w:rPr>
      <w:rFonts w:ascii="宋体" w:hAnsi="Courier New" w:eastAsia="宋体" w:cs="Times New Roman"/>
      <w:szCs w:val="21"/>
      <w:lang w:val="zh-CN"/>
    </w:rPr>
  </w:style>
  <w:style w:type="paragraph" w:styleId="8">
    <w:name w:val="footer"/>
    <w:basedOn w:val="1"/>
    <w:qFormat/>
    <w:uiPriority w:val="99"/>
    <w:pPr>
      <w:tabs>
        <w:tab w:val="center" w:pos="4153"/>
        <w:tab w:val="right" w:pos="8306"/>
      </w:tabs>
      <w:snapToGrid w:val="0"/>
      <w:jc w:val="left"/>
    </w:pPr>
    <w:rPr>
      <w:sz w:val="18"/>
    </w:rPr>
  </w:style>
  <w:style w:type="table" w:customStyle="1" w:styleId="11">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3582</Words>
  <Characters>3725</Characters>
  <Paragraphs>163</Paragraphs>
  <TotalTime>8</TotalTime>
  <ScaleCrop>false</ScaleCrop>
  <LinksUpToDate>false</LinksUpToDate>
  <CharactersWithSpaces>3919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2025-08-28T00:47:00Z</dcterms:created>
  <dc:creator>86187</dc:creator>
  <cp:lastModifiedBy>Smile heart</cp:lastModifiedBy>
  <cp:lastPrinted>2025-09-22T02:10:00Z</cp:lastPrinted>
  <dcterms:modified xsi:type="dcterms:W3CDTF">2026-09-15T01:39:07Z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2025-08-26T17:36:21Z</vt:filetime>
  </property>
  <property fmtid="{D5CDD505-2E9C-101B-9397-08002B2CF9AE}" pid="4" name="KSOTemplateDocerSaveRecord">
    <vt:lpwstr>eyJoZGlkIjoiZWViNzYwNDg2NDc1NTExYThlMjAzZjY4NzA4ZTMxYmEiLCJ1c2VySWQiOiIyNDkzNDYzMjgifQ==</vt:lpwstr>
  </property>
  <property fmtid="{D5CDD505-2E9C-101B-9397-08002B2CF9AE}" pid="5" name="KSOProductBuildVer">
    <vt:lpwstr>2052-12.1.0.28043</vt:lpwstr>
  </property>
  <property fmtid="{D5CDD505-2E9C-101B-9397-08002B2CF9AE}" pid="6" name="ICV">
    <vt:lpwstr>092F58FF91204239A69DD8FD1596632C_13</vt:lpwstr>
  </property>
</Properties>
</file>